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AB9B" w14:textId="77777777" w:rsidR="00F528BA" w:rsidRPr="00E50E23" w:rsidRDefault="00F528BA" w:rsidP="003C2389">
      <w:pPr>
        <w:jc w:val="center"/>
        <w:rPr>
          <w:rFonts w:cstheme="minorHAnsi"/>
          <w:b/>
          <w:bCs/>
          <w:sz w:val="23"/>
          <w:szCs w:val="23"/>
        </w:rPr>
      </w:pPr>
    </w:p>
    <w:p w14:paraId="75D5FAD9" w14:textId="20D8C762" w:rsidR="003C2389" w:rsidRPr="00E50E23" w:rsidRDefault="003C2389" w:rsidP="003C2389">
      <w:pPr>
        <w:jc w:val="center"/>
        <w:rPr>
          <w:rFonts w:cstheme="minorHAnsi"/>
          <w:b/>
          <w:bCs/>
          <w:sz w:val="23"/>
          <w:szCs w:val="23"/>
        </w:rPr>
      </w:pPr>
      <w:bookmarkStart w:id="0" w:name="_Hlk104716354"/>
      <w:r w:rsidRPr="00E50E23">
        <w:rPr>
          <w:rFonts w:cstheme="minorHAnsi"/>
          <w:b/>
          <w:bCs/>
          <w:sz w:val="23"/>
          <w:szCs w:val="23"/>
        </w:rPr>
        <w:t>MEDIDA PROVISÓRIA Nº 1.119, DE 25 DE MAIO DE 2022</w:t>
      </w:r>
    </w:p>
    <w:p w14:paraId="3655C615" w14:textId="77777777" w:rsidR="004D4A8D" w:rsidRPr="00E50E23" w:rsidRDefault="003C2389" w:rsidP="00DA63C5">
      <w:pPr>
        <w:spacing w:after="0"/>
        <w:jc w:val="right"/>
        <w:rPr>
          <w:rFonts w:cstheme="minorHAnsi"/>
          <w:sz w:val="23"/>
          <w:szCs w:val="23"/>
        </w:rPr>
      </w:pPr>
      <w:r w:rsidRPr="00E50E23">
        <w:rPr>
          <w:rFonts w:cstheme="minorHAnsi"/>
          <w:sz w:val="23"/>
          <w:szCs w:val="23"/>
        </w:rPr>
        <w:t>Reabre o prazo de opção para</w:t>
      </w:r>
      <w:r w:rsidR="004D4A8D" w:rsidRPr="00E50E23">
        <w:rPr>
          <w:rFonts w:cstheme="minorHAnsi"/>
          <w:sz w:val="23"/>
          <w:szCs w:val="23"/>
        </w:rPr>
        <w:t xml:space="preserve"> </w:t>
      </w:r>
      <w:r w:rsidRPr="00E50E23">
        <w:rPr>
          <w:rFonts w:cstheme="minorHAnsi"/>
          <w:sz w:val="23"/>
          <w:szCs w:val="23"/>
        </w:rPr>
        <w:t>o regime de previdência</w:t>
      </w:r>
    </w:p>
    <w:p w14:paraId="5BCBB876" w14:textId="532958BA" w:rsidR="00A3719E" w:rsidRPr="00E50E23" w:rsidRDefault="004D4A8D" w:rsidP="00DA63C5">
      <w:pPr>
        <w:spacing w:after="0"/>
        <w:jc w:val="right"/>
        <w:rPr>
          <w:rFonts w:cstheme="minorHAnsi"/>
          <w:sz w:val="23"/>
          <w:szCs w:val="23"/>
        </w:rPr>
      </w:pPr>
      <w:r w:rsidRPr="00E50E23">
        <w:rPr>
          <w:rFonts w:cstheme="minorHAnsi"/>
          <w:sz w:val="23"/>
          <w:szCs w:val="23"/>
        </w:rPr>
        <w:t>C</w:t>
      </w:r>
      <w:r w:rsidR="003C2389" w:rsidRPr="00E50E23">
        <w:rPr>
          <w:rFonts w:cstheme="minorHAnsi"/>
          <w:sz w:val="23"/>
          <w:szCs w:val="23"/>
        </w:rPr>
        <w:t>omplementar</w:t>
      </w:r>
      <w:r w:rsidRPr="00E50E23">
        <w:rPr>
          <w:rFonts w:cstheme="minorHAnsi"/>
          <w:sz w:val="23"/>
          <w:szCs w:val="23"/>
        </w:rPr>
        <w:t xml:space="preserve"> </w:t>
      </w:r>
      <w:r w:rsidR="003C2389" w:rsidRPr="00E50E23">
        <w:rPr>
          <w:rFonts w:cstheme="minorHAnsi"/>
          <w:sz w:val="23"/>
          <w:szCs w:val="23"/>
        </w:rPr>
        <w:t>e altera a Lei nº 12.618, de 30 de abril de 2012.</w:t>
      </w:r>
    </w:p>
    <w:p w14:paraId="63AD9FD1" w14:textId="16D9028C" w:rsidR="003C2389" w:rsidRPr="00E50E23" w:rsidRDefault="003C2389">
      <w:pPr>
        <w:rPr>
          <w:rFonts w:cstheme="minorHAnsi"/>
          <w:sz w:val="23"/>
          <w:szCs w:val="23"/>
        </w:rPr>
      </w:pPr>
    </w:p>
    <w:p w14:paraId="45DC8895" w14:textId="29A75257" w:rsidR="008E03BE" w:rsidRPr="00E50E23" w:rsidRDefault="003C2389" w:rsidP="00DA63C5">
      <w:pPr>
        <w:jc w:val="center"/>
        <w:rPr>
          <w:rStyle w:val="fontstyle01"/>
          <w:rFonts w:asciiTheme="minorHAnsi" w:hAnsiTheme="minorHAnsi" w:cstheme="minorHAnsi"/>
          <w:sz w:val="23"/>
          <w:szCs w:val="23"/>
        </w:rPr>
      </w:pPr>
      <w:r w:rsidRPr="00E50E23">
        <w:rPr>
          <w:rStyle w:val="fontstyle01"/>
          <w:rFonts w:asciiTheme="minorHAnsi" w:hAnsiTheme="minorHAnsi" w:cstheme="minorHAnsi"/>
          <w:sz w:val="23"/>
          <w:szCs w:val="23"/>
        </w:rPr>
        <w:t xml:space="preserve">EMENDA </w:t>
      </w:r>
      <w:r w:rsidR="00E46590" w:rsidRPr="00E50E23">
        <w:rPr>
          <w:rStyle w:val="fontstyle01"/>
          <w:rFonts w:asciiTheme="minorHAnsi" w:hAnsiTheme="minorHAnsi" w:cstheme="minorHAnsi"/>
          <w:sz w:val="23"/>
          <w:szCs w:val="23"/>
        </w:rPr>
        <w:t>N. __________</w:t>
      </w:r>
    </w:p>
    <w:bookmarkEnd w:id="0"/>
    <w:p w14:paraId="7937ADB2" w14:textId="55BF0AB1" w:rsidR="00E46590" w:rsidRPr="00E50E23" w:rsidRDefault="00C46A25" w:rsidP="00E46590">
      <w:pPr>
        <w:pStyle w:val="dou-paragraph"/>
        <w:shd w:val="clear" w:color="auto" w:fill="FFFFFF"/>
        <w:spacing w:after="150"/>
        <w:ind w:firstLine="1200"/>
        <w:jc w:val="both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  <w:r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Modifique-se</w:t>
      </w:r>
      <w:r w:rsidR="00E46590" w:rsidRPr="00E50E23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o art. 2º da Medida Provisória para alterar o seguinte dispositivo</w:t>
      </w:r>
      <w:r w:rsidR="0062716D" w:rsidRPr="00E50E23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="00E46590" w:rsidRPr="00E50E23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da Lei nº 12.</w:t>
      </w:r>
      <w:r w:rsidR="008554B7" w:rsidRPr="00E50E23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618/2012:</w:t>
      </w:r>
    </w:p>
    <w:p w14:paraId="4A2B6EB3" w14:textId="79AD98B1" w:rsidR="00E46590" w:rsidRPr="00E50E23" w:rsidRDefault="00E46590" w:rsidP="00E46590">
      <w:pPr>
        <w:pStyle w:val="dou-paragraph"/>
        <w:shd w:val="clear" w:color="auto" w:fill="FFFFFF"/>
        <w:spacing w:after="150"/>
        <w:ind w:firstLine="1200"/>
        <w:jc w:val="both"/>
        <w:rPr>
          <w:rStyle w:val="fontstyle21"/>
          <w:rFonts w:ascii="Times New Roman" w:hAnsi="Times New Roman"/>
          <w:color w:val="auto"/>
          <w:sz w:val="23"/>
          <w:szCs w:val="23"/>
        </w:rPr>
      </w:pPr>
      <w:r w:rsidRPr="00E50E23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Art. 2</w:t>
      </w:r>
      <w:r w:rsidR="00E644BB" w:rsidRPr="00E50E23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º</w:t>
      </w:r>
      <w:r w:rsidRPr="00E50E23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A Lei no 12.618, de 2012, passa a vigorar com as seguintes alterações:</w:t>
      </w:r>
    </w:p>
    <w:p w14:paraId="27D4465D" w14:textId="77777777" w:rsidR="00C46A25" w:rsidRPr="00C46A25" w:rsidRDefault="00C46A25" w:rsidP="00C46A25">
      <w:pPr>
        <w:pStyle w:val="dou-paragraph"/>
        <w:shd w:val="clear" w:color="auto" w:fill="FFFFFF"/>
        <w:spacing w:after="0"/>
        <w:ind w:left="1843"/>
        <w:jc w:val="both"/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C46A25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Art. 2º A Lei nº 12.618, de 2012, passa a vigorar com as seguintes alterações:</w:t>
      </w:r>
    </w:p>
    <w:p w14:paraId="159C159C" w14:textId="77777777" w:rsidR="00C46A25" w:rsidRPr="00C46A25" w:rsidRDefault="00C46A25" w:rsidP="00C46A25">
      <w:pPr>
        <w:pStyle w:val="dou-paragraph"/>
        <w:shd w:val="clear" w:color="auto" w:fill="FFFFFF"/>
        <w:spacing w:after="0"/>
        <w:ind w:left="1843"/>
        <w:jc w:val="both"/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C46A25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“Art. 3º ......................................................................................................</w:t>
      </w:r>
    </w:p>
    <w:p w14:paraId="1FF5C183" w14:textId="77777777" w:rsidR="00C46A25" w:rsidRPr="00C46A25" w:rsidRDefault="00C46A25" w:rsidP="00C46A25">
      <w:pPr>
        <w:pStyle w:val="dou-paragraph"/>
        <w:shd w:val="clear" w:color="auto" w:fill="FFFFFF"/>
        <w:spacing w:after="0"/>
        <w:ind w:left="1843"/>
        <w:jc w:val="both"/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C46A25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....................................................................................................................</w:t>
      </w:r>
    </w:p>
    <w:p w14:paraId="5D120AD2" w14:textId="35ADFDD7" w:rsidR="00C46A25" w:rsidRDefault="00C46A25" w:rsidP="00EC071A">
      <w:pPr>
        <w:pStyle w:val="dou-paragraph"/>
        <w:shd w:val="clear" w:color="auto" w:fill="FFFFFF"/>
        <w:ind w:left="1843" w:firstLine="281"/>
        <w:jc w:val="both"/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C46A25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§ 2º O benefício especial terá como referência as remunerações anteriores à data de</w:t>
      </w:r>
      <w:r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Pr="00C46A25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mudança do regime, utilizadas como base para as contribuições do servidor ao regime</w:t>
      </w:r>
      <w:r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Pr="00C46A25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próprio de previdência da União e, na hipótese de opção do servidor por averbação para</w:t>
      </w:r>
      <w:r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Pr="00C46A25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fins de contagem recíproca, as contribuições decorrentes de regimes próprios de</w:t>
      </w:r>
      <w:r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Pr="00C46A25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previdência dos Estados, do Distrito Federal e dos Municípios, atualizadas pelo Índice</w:t>
      </w:r>
      <w:r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Pr="00C46A25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Nacional de Preços ao Consumidor Amplo - IPCA, divulgado pela Fundação Instituto</w:t>
      </w:r>
      <w:r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Pr="00C46A25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Brasileiro de Geografia e Estatística - IBGE, ou pelo índice que vier a substituí-lo, e será</w:t>
      </w:r>
      <w:r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Pr="00C46A25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equivalente a:</w:t>
      </w:r>
    </w:p>
    <w:p w14:paraId="7706D4B5" w14:textId="5B85BDAE" w:rsidR="00C46A25" w:rsidRPr="007617F1" w:rsidRDefault="00C46A25" w:rsidP="007617F1">
      <w:pPr>
        <w:pStyle w:val="dou-paragraph"/>
        <w:shd w:val="clear" w:color="auto" w:fill="FFFFFF"/>
        <w:spacing w:after="0"/>
        <w:ind w:left="1843" w:firstLine="281"/>
        <w:jc w:val="both"/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</w:pPr>
      <w:r w:rsidRPr="00C46A25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I - para os termos de opção firmados </w:t>
      </w:r>
      <w:r w:rsidRPr="002129F5">
        <w:rPr>
          <w:rStyle w:val="fontstyle21"/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até 30 de novembro de 2022</w:t>
      </w:r>
      <w:r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,</w:t>
      </w:r>
      <w:r w:rsidRPr="00C46A25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a diferença entre a média aritmética</w:t>
      </w:r>
      <w:r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Pr="00C46A25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simples das maiores remunerações referidas neste parágrafo correspondentes a oitenta</w:t>
      </w:r>
      <w:r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Pr="00C46A25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por cento de todo o período contributivo desde a competência de julho de 1994 ou desde</w:t>
      </w:r>
      <w:r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Pr="00C46A25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a do início da contribuição, se posterior àquela competência, e o limite máximo a que se</w:t>
      </w:r>
      <w:r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Pr="00C46A25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refere o caput, multiplicada pelo fator de conversão; ou</w:t>
      </w:r>
      <w:r w:rsidRPr="00C46A25">
        <w:t xml:space="preserve"> </w:t>
      </w:r>
    </w:p>
    <w:p w14:paraId="23D012F3" w14:textId="1B288954" w:rsidR="00C46A25" w:rsidRDefault="00C46A25" w:rsidP="00C46A25">
      <w:pPr>
        <w:pStyle w:val="dou-paragraph"/>
        <w:shd w:val="clear" w:color="auto" w:fill="FFFFFF"/>
        <w:spacing w:after="0"/>
        <w:ind w:left="1843" w:firstLine="281"/>
        <w:jc w:val="both"/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C46A25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II - para os termos de opção firmados </w:t>
      </w:r>
      <w:r w:rsidRPr="002129F5">
        <w:rPr>
          <w:rStyle w:val="fontstyle21"/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a partir de</w:t>
      </w:r>
      <w:r w:rsidR="007617F1" w:rsidRPr="002129F5">
        <w:rPr>
          <w:rStyle w:val="fontstyle21"/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 xml:space="preserve"> 30 de novembro de</w:t>
      </w:r>
      <w:r w:rsidRPr="002129F5">
        <w:rPr>
          <w:rStyle w:val="fontstyle21"/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 xml:space="preserve"> 2022</w:t>
      </w:r>
      <w:r w:rsidR="002129F5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, </w:t>
      </w:r>
      <w:r w:rsidRPr="00C46A25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a diferença entre a média</w:t>
      </w:r>
      <w:r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Pr="00C46A25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aritmética simples das remunerações referidas neste parágrafo correspondentes a cem por</w:t>
      </w:r>
      <w:r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Pr="00C46A25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cento de todo o período contributivo desde o início da contribuição e o limite máximo a</w:t>
      </w:r>
      <w:r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Pr="00C46A25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que se refere o caput, multiplicada pelo fator de conversão.</w:t>
      </w:r>
    </w:p>
    <w:p w14:paraId="7B51B1BD" w14:textId="47BBC89A" w:rsidR="007617F1" w:rsidRPr="007617F1" w:rsidRDefault="007617F1" w:rsidP="007617F1">
      <w:pPr>
        <w:pStyle w:val="dou-paragraph"/>
        <w:shd w:val="clear" w:color="auto" w:fill="FFFFFF"/>
        <w:spacing w:after="0"/>
        <w:ind w:left="1843" w:firstLine="281"/>
        <w:jc w:val="both"/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7617F1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§ 3º O fator de conversão de que trata o § 2º, cujo resultado é limitado ao máximo</w:t>
      </w:r>
      <w:r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Pr="007617F1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de</w:t>
      </w:r>
      <w:r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1 (um)</w:t>
      </w:r>
      <w:r w:rsidRPr="007617F1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, será calculado pela fórmula FC = </w:t>
      </w:r>
      <w:proofErr w:type="spellStart"/>
      <w:r w:rsidRPr="007617F1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Tc</w:t>
      </w:r>
      <w:proofErr w:type="spellEnd"/>
      <w:r w:rsidRPr="007617F1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/</w:t>
      </w:r>
      <w:proofErr w:type="spellStart"/>
      <w:r w:rsidRPr="007617F1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Tt</w:t>
      </w:r>
      <w:proofErr w:type="spellEnd"/>
      <w:r w:rsidRPr="007617F1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, na qual:</w:t>
      </w:r>
    </w:p>
    <w:p w14:paraId="081C9D2B" w14:textId="77777777" w:rsidR="007617F1" w:rsidRPr="007617F1" w:rsidRDefault="007617F1" w:rsidP="007617F1">
      <w:pPr>
        <w:pStyle w:val="dou-paragraph"/>
        <w:shd w:val="clear" w:color="auto" w:fill="FFFFFF"/>
        <w:spacing w:after="0"/>
        <w:ind w:left="1843" w:firstLine="281"/>
        <w:jc w:val="both"/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7617F1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I - FC = fator de conversão;</w:t>
      </w:r>
    </w:p>
    <w:p w14:paraId="367BB8DD" w14:textId="2407D50B" w:rsidR="00C46A25" w:rsidRDefault="007617F1" w:rsidP="007617F1">
      <w:pPr>
        <w:pStyle w:val="dou-paragraph"/>
        <w:shd w:val="clear" w:color="auto" w:fill="FFFFFF"/>
        <w:spacing w:after="0"/>
        <w:ind w:left="1843" w:firstLine="281"/>
        <w:jc w:val="both"/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7617F1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II - </w:t>
      </w:r>
      <w:proofErr w:type="spellStart"/>
      <w:r w:rsidRPr="007617F1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Tc</w:t>
      </w:r>
      <w:proofErr w:type="spellEnd"/>
      <w:r w:rsidRPr="007617F1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= quantidade de contribuições mensais efetuadas para o regime de previdência</w:t>
      </w:r>
      <w:r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Pr="007617F1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da União de que trata o art. 40 da Constituição, efetivamente pagas pelo servidor titular de</w:t>
      </w:r>
      <w:r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Pr="007617F1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cargo efetivo da União ou por membro do Poder Judiciário, do Tribunal de Contas e do</w:t>
      </w:r>
      <w:r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Pr="007617F1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Ministério Público da União até a data da opção; e</w:t>
      </w:r>
    </w:p>
    <w:p w14:paraId="0374E392" w14:textId="77777777" w:rsidR="00144D17" w:rsidRPr="00144D17" w:rsidRDefault="00144D17" w:rsidP="00144D17">
      <w:pPr>
        <w:pStyle w:val="dou-paragraph"/>
        <w:shd w:val="clear" w:color="auto" w:fill="FFFFFF"/>
        <w:spacing w:after="0"/>
        <w:ind w:left="1843" w:firstLine="281"/>
        <w:jc w:val="both"/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144D17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II - </w:t>
      </w:r>
      <w:proofErr w:type="spellStart"/>
      <w:r w:rsidRPr="00144D17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Tt</w:t>
      </w:r>
      <w:proofErr w:type="spellEnd"/>
      <w:r w:rsidRPr="00144D17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:</w:t>
      </w:r>
    </w:p>
    <w:p w14:paraId="75AA9870" w14:textId="1AF32EE3" w:rsidR="00144D17" w:rsidRDefault="00144D17" w:rsidP="00144D17">
      <w:pPr>
        <w:pStyle w:val="dou-paragraph"/>
        <w:numPr>
          <w:ilvl w:val="0"/>
          <w:numId w:val="1"/>
        </w:numPr>
        <w:shd w:val="clear" w:color="auto" w:fill="FFFFFF"/>
        <w:spacing w:after="0"/>
        <w:jc w:val="both"/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144D17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para os termos de opção firmados </w:t>
      </w:r>
      <w:r w:rsidRPr="002129F5">
        <w:rPr>
          <w:rStyle w:val="fontstyle21"/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 xml:space="preserve">até </w:t>
      </w:r>
      <w:r w:rsidR="002129F5" w:rsidRPr="002129F5">
        <w:rPr>
          <w:rStyle w:val="fontstyle21"/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30 de novembro de 2022</w:t>
      </w:r>
      <w:r w:rsidR="002129F5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:</w:t>
      </w:r>
    </w:p>
    <w:p w14:paraId="6CAEBA4F" w14:textId="5F2E6C33" w:rsidR="00144D17" w:rsidRPr="00144D17" w:rsidRDefault="00144D17" w:rsidP="00144D17">
      <w:pPr>
        <w:pStyle w:val="dou-paragraph"/>
        <w:shd w:val="clear" w:color="auto" w:fill="FFFFFF"/>
        <w:spacing w:after="0"/>
        <w:ind w:left="2124"/>
        <w:jc w:val="both"/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</w:pPr>
      <w:proofErr w:type="spellStart"/>
      <w:r w:rsidRPr="00144D17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lastRenderedPageBreak/>
        <w:t>Tt</w:t>
      </w:r>
      <w:proofErr w:type="spellEnd"/>
      <w:r w:rsidRPr="00144D17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= 455</w:t>
      </w:r>
      <w:r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(quatrocentos e cinquenta e cinco)</w:t>
      </w:r>
      <w:r w:rsidRPr="00144D17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, quando servidor titular de cargo efetivo da União ou membro do Poder Judiciário, do Tribunal de Contas </w:t>
      </w:r>
      <w:r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da União </w:t>
      </w:r>
      <w:r w:rsidRPr="00144D17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e do Ministério Público da União</w:t>
      </w:r>
      <w:r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ou da Defensoria Pública da União</w:t>
      </w:r>
      <w:r w:rsidRPr="00144D17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, se homem;</w:t>
      </w:r>
    </w:p>
    <w:p w14:paraId="3A05DF7F" w14:textId="087DEC9F" w:rsidR="00144D17" w:rsidRPr="00144D17" w:rsidRDefault="00144D17" w:rsidP="00144D17">
      <w:pPr>
        <w:pStyle w:val="dou-paragraph"/>
        <w:shd w:val="clear" w:color="auto" w:fill="FFFFFF"/>
        <w:spacing w:after="0"/>
        <w:ind w:left="2124"/>
        <w:jc w:val="both"/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</w:pPr>
      <w:proofErr w:type="spellStart"/>
      <w:r w:rsidRPr="00144D17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Tt</w:t>
      </w:r>
      <w:proofErr w:type="spellEnd"/>
      <w:r w:rsidRPr="00144D17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= 390</w:t>
      </w:r>
      <w:r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(trezentos e noventa)</w:t>
      </w:r>
      <w:r w:rsidRPr="00144D17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, quando servidor titular de cargo efetivo da União ou membro do Poder Judiciário, do Tribunal de Contas</w:t>
      </w:r>
      <w:r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da União</w:t>
      </w:r>
      <w:r w:rsidRPr="00144D17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e do Ministério Público da União</w:t>
      </w:r>
      <w:r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ou da </w:t>
      </w:r>
      <w:r w:rsidR="00971708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Defensoria</w:t>
      </w:r>
      <w:r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Pública da União</w:t>
      </w:r>
      <w:r w:rsidRPr="00144D17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, se mulher, ou servidor titular de cargo efetivo de professor</w:t>
      </w:r>
      <w:r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Pr="00144D17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da educação infantil e do ensino fundamental</w:t>
      </w:r>
      <w:r w:rsidR="00971708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, se homem</w:t>
      </w:r>
      <w:r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;</w:t>
      </w:r>
    </w:p>
    <w:p w14:paraId="560602CD" w14:textId="07502160" w:rsidR="00144D17" w:rsidRDefault="00144D17" w:rsidP="00144D17">
      <w:pPr>
        <w:pStyle w:val="dou-paragraph"/>
        <w:shd w:val="clear" w:color="auto" w:fill="FFFFFF"/>
        <w:spacing w:after="0"/>
        <w:ind w:left="2124"/>
        <w:jc w:val="both"/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</w:pPr>
      <w:proofErr w:type="spellStart"/>
      <w:r w:rsidRPr="00144D17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Tt</w:t>
      </w:r>
      <w:proofErr w:type="spellEnd"/>
      <w:r w:rsidRPr="00144D17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= 325</w:t>
      </w:r>
      <w:r w:rsidR="00971708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(trezentos e vinte e cinco)</w:t>
      </w:r>
      <w:r w:rsidRPr="00144D17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, quando servidor titular de cargo efetivo da União de professor de educação infantil e do ensino fundamental, se mulher.</w:t>
      </w:r>
    </w:p>
    <w:p w14:paraId="5B84D43F" w14:textId="7D291E80" w:rsidR="00144D17" w:rsidRDefault="00971708" w:rsidP="002129F5">
      <w:pPr>
        <w:pStyle w:val="dou-paragraph"/>
        <w:numPr>
          <w:ilvl w:val="0"/>
          <w:numId w:val="1"/>
        </w:numPr>
        <w:shd w:val="clear" w:color="auto" w:fill="FFFFFF"/>
        <w:spacing w:after="0"/>
        <w:jc w:val="both"/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</w:pPr>
      <w:r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P</w:t>
      </w:r>
      <w:r w:rsidRPr="00144D17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ara os termos de opção firmados até</w:t>
      </w:r>
      <w:r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30 de novembro de 2022</w:t>
      </w:r>
      <w:r w:rsidR="002129F5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: </w:t>
      </w:r>
      <w:r w:rsidR="00144D17" w:rsidRPr="002129F5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igual a </w:t>
      </w:r>
      <w:r w:rsidR="002129F5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520 (quinhentos e vinte);</w:t>
      </w:r>
    </w:p>
    <w:p w14:paraId="49C2B067" w14:textId="16ADA534" w:rsidR="002129F5" w:rsidRDefault="002129F5" w:rsidP="002129F5">
      <w:pPr>
        <w:pStyle w:val="dou-paragraph"/>
        <w:shd w:val="clear" w:color="auto" w:fill="FFFFFF"/>
        <w:spacing w:after="0"/>
        <w:ind w:left="1843" w:firstLine="284"/>
        <w:jc w:val="both"/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C46A25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§</w:t>
      </w:r>
      <w:r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Pr="002129F5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4º Para os termos de opção firmados até </w:t>
      </w:r>
      <w:r>
        <w:rPr>
          <w:rStyle w:val="fontstyle21"/>
          <w:rFonts w:asciiTheme="minorHAnsi" w:eastAsiaTheme="minorHAnsi" w:hAnsiTheme="minorHAnsi" w:cstheme="minorHAnsi"/>
          <w:b/>
          <w:bCs/>
          <w:sz w:val="23"/>
          <w:szCs w:val="23"/>
          <w:lang w:eastAsia="en-US"/>
        </w:rPr>
        <w:t>30 de novembro de 2022</w:t>
      </w:r>
      <w:r w:rsidRPr="002129F5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, o fator de conversão será ajustado</w:t>
      </w:r>
      <w:r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Pr="002129F5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pelo órgão competente para a concessão do benefício quando, na forma prevista nas</w:t>
      </w:r>
      <w:r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Pr="002129F5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respectivas leis complementares, o tempo de contribuição exigido para concessão da</w:t>
      </w:r>
      <w:r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Pr="002129F5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aposentadoria de servidor com deficiência, ou que exerça atividade de risco, ou cujas</w:t>
      </w:r>
      <w:r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Pr="002129F5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atividades sejam exercidas sob condições especiais que prejudiquem a saúde ou a</w:t>
      </w:r>
      <w:r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Pr="002129F5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integridade física, for inferior ao </w:t>
      </w:r>
      <w:proofErr w:type="spellStart"/>
      <w:r w:rsidRPr="002129F5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Tt</w:t>
      </w:r>
      <w:proofErr w:type="spellEnd"/>
      <w:r w:rsidRPr="002129F5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 xml:space="preserve"> de que trata a alínea “a” do inciso III do § 3º</w:t>
      </w:r>
    </w:p>
    <w:p w14:paraId="1EA7871F" w14:textId="5CFB47E0" w:rsidR="0072028D" w:rsidRDefault="0072028D" w:rsidP="002129F5">
      <w:pPr>
        <w:pStyle w:val="dou-paragraph"/>
        <w:shd w:val="clear" w:color="auto" w:fill="FFFFFF"/>
        <w:spacing w:after="0"/>
        <w:ind w:left="1843" w:firstLine="284"/>
        <w:jc w:val="both"/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</w:pPr>
      <w:r w:rsidRPr="0072028D">
        <w:rPr>
          <w:rStyle w:val="fontstyle21"/>
          <w:rFonts w:asciiTheme="minorHAnsi" w:eastAsiaTheme="minorHAnsi" w:hAnsiTheme="minorHAnsi" w:cstheme="minorHAnsi"/>
          <w:sz w:val="23"/>
          <w:szCs w:val="23"/>
          <w:lang w:eastAsia="en-US"/>
        </w:rPr>
        <w:t>....................................................................................................................</w:t>
      </w:r>
    </w:p>
    <w:p w14:paraId="372EC0AF" w14:textId="77777777" w:rsidR="008554B7" w:rsidRPr="00E50E23" w:rsidRDefault="008554B7" w:rsidP="00B018FD">
      <w:pPr>
        <w:jc w:val="center"/>
        <w:rPr>
          <w:rStyle w:val="fontstyle01"/>
          <w:rFonts w:asciiTheme="minorHAnsi" w:hAnsiTheme="minorHAnsi" w:cstheme="minorHAnsi"/>
          <w:sz w:val="23"/>
          <w:szCs w:val="23"/>
        </w:rPr>
      </w:pPr>
    </w:p>
    <w:p w14:paraId="19F35C98" w14:textId="69C49FAE" w:rsidR="00C6681E" w:rsidRPr="00E50E23" w:rsidRDefault="003C2389" w:rsidP="00B018FD">
      <w:pPr>
        <w:jc w:val="center"/>
        <w:rPr>
          <w:rStyle w:val="fontstyle01"/>
          <w:rFonts w:asciiTheme="minorHAnsi" w:hAnsiTheme="minorHAnsi" w:cstheme="minorHAnsi"/>
          <w:sz w:val="23"/>
          <w:szCs w:val="23"/>
        </w:rPr>
      </w:pPr>
      <w:r w:rsidRPr="00E50E23">
        <w:rPr>
          <w:rStyle w:val="fontstyle01"/>
          <w:rFonts w:asciiTheme="minorHAnsi" w:hAnsiTheme="minorHAnsi" w:cstheme="minorHAnsi"/>
          <w:sz w:val="23"/>
          <w:szCs w:val="23"/>
        </w:rPr>
        <w:t>JUSTIFICAÇÃO</w:t>
      </w:r>
    </w:p>
    <w:p w14:paraId="4BA5B81F" w14:textId="77777777" w:rsidR="008554B7" w:rsidRPr="00E50E23" w:rsidRDefault="008554B7" w:rsidP="00B018FD">
      <w:pPr>
        <w:jc w:val="center"/>
        <w:rPr>
          <w:rStyle w:val="fontstyle11"/>
          <w:rFonts w:asciiTheme="minorHAnsi" w:hAnsiTheme="minorHAnsi" w:cstheme="minorHAnsi"/>
          <w:b/>
          <w:bCs/>
          <w:sz w:val="23"/>
          <w:szCs w:val="23"/>
        </w:rPr>
      </w:pPr>
    </w:p>
    <w:p w14:paraId="26A1DA4B" w14:textId="708A0499" w:rsidR="008D126D" w:rsidRPr="008D126D" w:rsidRDefault="00C6681E" w:rsidP="0072028D">
      <w:pPr>
        <w:jc w:val="both"/>
        <w:rPr>
          <w:rStyle w:val="fontstyle11"/>
          <w:rFonts w:asciiTheme="minorHAnsi" w:hAnsiTheme="minorHAnsi" w:cstheme="minorHAnsi"/>
          <w:sz w:val="23"/>
          <w:szCs w:val="23"/>
        </w:rPr>
      </w:pPr>
      <w:r w:rsidRPr="00E50E23">
        <w:rPr>
          <w:rStyle w:val="fontstyle11"/>
          <w:rFonts w:asciiTheme="minorHAnsi" w:hAnsiTheme="minorHAnsi" w:cstheme="minorHAnsi"/>
          <w:sz w:val="23"/>
          <w:szCs w:val="23"/>
        </w:rPr>
        <w:t>O objetivo esta Emenda é assegurar</w:t>
      </w:r>
      <w:r w:rsidR="008549FA"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 </w:t>
      </w:r>
      <w:r w:rsidR="00C46A25">
        <w:rPr>
          <w:rStyle w:val="fontstyle11"/>
          <w:rFonts w:asciiTheme="minorHAnsi" w:hAnsiTheme="minorHAnsi" w:cstheme="minorHAnsi"/>
          <w:sz w:val="23"/>
          <w:szCs w:val="23"/>
        </w:rPr>
        <w:t xml:space="preserve">a </w:t>
      </w:r>
      <w:r w:rsidR="00C46A25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 xml:space="preserve">igualdade de </w:t>
      </w:r>
      <w:r w:rsidR="00C46A25" w:rsidRPr="00C46A25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>regras de cálculo do benefício especial</w:t>
      </w:r>
      <w:r w:rsidR="00C46A25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C46A25">
        <w:rPr>
          <w:rStyle w:val="fontstyle11"/>
          <w:rFonts w:asciiTheme="minorHAnsi" w:hAnsiTheme="minorHAnsi" w:cstheme="minorHAnsi"/>
          <w:sz w:val="23"/>
          <w:szCs w:val="23"/>
        </w:rPr>
        <w:t>entre aqueles</w:t>
      </w:r>
      <w:r w:rsidR="008D126D">
        <w:rPr>
          <w:rStyle w:val="fontstyle11"/>
          <w:rFonts w:asciiTheme="minorHAnsi" w:hAnsiTheme="minorHAnsi" w:cstheme="minorHAnsi"/>
          <w:sz w:val="23"/>
          <w:szCs w:val="23"/>
        </w:rPr>
        <w:t xml:space="preserve"> que firmaram termo de opção, até 2021, </w:t>
      </w:r>
      <w:r w:rsidR="00C46A25">
        <w:rPr>
          <w:rStyle w:val="fontstyle11"/>
          <w:rFonts w:asciiTheme="minorHAnsi" w:hAnsiTheme="minorHAnsi" w:cstheme="minorHAnsi"/>
          <w:sz w:val="23"/>
          <w:szCs w:val="23"/>
        </w:rPr>
        <w:t>ao Regime de Previdência Complementar (RPC)</w:t>
      </w:r>
      <w:r w:rsidR="0072028D">
        <w:rPr>
          <w:rStyle w:val="fontstyle11"/>
          <w:rFonts w:asciiTheme="minorHAnsi" w:hAnsiTheme="minorHAnsi" w:cstheme="minorHAnsi"/>
          <w:sz w:val="23"/>
          <w:szCs w:val="23"/>
        </w:rPr>
        <w:t xml:space="preserve">, e os que </w:t>
      </w:r>
      <w:r w:rsidR="008D126D">
        <w:rPr>
          <w:rStyle w:val="fontstyle11"/>
          <w:rFonts w:asciiTheme="minorHAnsi" w:hAnsiTheme="minorHAnsi" w:cstheme="minorHAnsi"/>
          <w:sz w:val="23"/>
          <w:szCs w:val="23"/>
        </w:rPr>
        <w:t xml:space="preserve">agora </w:t>
      </w:r>
      <w:r w:rsidR="0072028D">
        <w:rPr>
          <w:rStyle w:val="fontstyle11"/>
          <w:rFonts w:asciiTheme="minorHAnsi" w:hAnsiTheme="minorHAnsi" w:cstheme="minorHAnsi"/>
          <w:sz w:val="23"/>
          <w:szCs w:val="23"/>
        </w:rPr>
        <w:t xml:space="preserve">desejam </w:t>
      </w:r>
      <w:r w:rsidR="0072028D" w:rsidRPr="008D126D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>optar até o prazo derradeiro de 30 de novembro de 2022</w:t>
      </w:r>
      <w:r w:rsidR="0072028D">
        <w:rPr>
          <w:rStyle w:val="fontstyle11"/>
          <w:rFonts w:asciiTheme="minorHAnsi" w:hAnsiTheme="minorHAnsi" w:cstheme="minorHAnsi"/>
          <w:sz w:val="23"/>
          <w:szCs w:val="23"/>
        </w:rPr>
        <w:t xml:space="preserve">, reaberto </w:t>
      </w:r>
      <w:r w:rsidR="008D126D">
        <w:rPr>
          <w:rStyle w:val="fontstyle11"/>
          <w:rFonts w:asciiTheme="minorHAnsi" w:hAnsiTheme="minorHAnsi" w:cstheme="minorHAnsi"/>
          <w:sz w:val="23"/>
          <w:szCs w:val="23"/>
        </w:rPr>
        <w:t>pelo</w:t>
      </w:r>
      <w:r w:rsidR="0072028D">
        <w:rPr>
          <w:rStyle w:val="fontstyle11"/>
          <w:rFonts w:asciiTheme="minorHAnsi" w:hAnsiTheme="minorHAnsi" w:cstheme="minorHAnsi"/>
          <w:sz w:val="23"/>
          <w:szCs w:val="23"/>
        </w:rPr>
        <w:t xml:space="preserve"> art. 1º da MP n. 1.119, de 25 de maio de 2021.</w:t>
      </w:r>
      <w:r w:rsidR="008D126D">
        <w:rPr>
          <w:rStyle w:val="fontstyle11"/>
          <w:rFonts w:asciiTheme="minorHAnsi" w:hAnsiTheme="minorHAnsi" w:cstheme="minorHAnsi"/>
          <w:sz w:val="23"/>
          <w:szCs w:val="23"/>
        </w:rPr>
        <w:t xml:space="preserve"> Com isso, aplica-se a todos que venham optar ao RPC até </w:t>
      </w:r>
      <w:r w:rsidR="008D126D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 xml:space="preserve">30 de novembro de 2022 </w:t>
      </w:r>
      <w:r w:rsidR="008D126D" w:rsidRPr="008D126D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>as regras de cálculo</w:t>
      </w:r>
      <w:r w:rsidR="008D126D" w:rsidRPr="00E50E23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 xml:space="preserve"> do benefício especial existentes antes do fechamento do </w:t>
      </w:r>
      <w:r w:rsidR="008D126D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 xml:space="preserve">último </w:t>
      </w:r>
      <w:r w:rsidR="008D126D" w:rsidRPr="00E50E23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>prazo</w:t>
      </w:r>
      <w:r w:rsidR="008D126D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 xml:space="preserve"> legal</w:t>
      </w:r>
      <w:r w:rsidR="008D126D" w:rsidRPr="00E50E23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 xml:space="preserve"> de opção em 29.03.2019</w:t>
      </w:r>
      <w:r w:rsidR="008D126D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 xml:space="preserve">, </w:t>
      </w:r>
      <w:r w:rsidR="008D126D" w:rsidRPr="008D126D">
        <w:rPr>
          <w:rStyle w:val="fontstyle11"/>
          <w:rFonts w:asciiTheme="minorHAnsi" w:hAnsiTheme="minorHAnsi" w:cstheme="minorHAnsi"/>
          <w:sz w:val="23"/>
          <w:szCs w:val="23"/>
        </w:rPr>
        <w:t>que havia sido reinstaurado pela Lei n. 13.809/2019.</w:t>
      </w:r>
    </w:p>
    <w:p w14:paraId="39F5096E" w14:textId="1CA4D2B9" w:rsidR="00C46A25" w:rsidRPr="006C2CE8" w:rsidRDefault="00C46A25" w:rsidP="005F2EA9">
      <w:pPr>
        <w:jc w:val="both"/>
        <w:rPr>
          <w:rStyle w:val="fontstyle11"/>
          <w:rFonts w:asciiTheme="minorHAnsi" w:hAnsiTheme="minorHAnsi" w:cstheme="minorHAnsi"/>
          <w:b/>
          <w:bCs/>
          <w:sz w:val="23"/>
          <w:szCs w:val="23"/>
        </w:rPr>
      </w:pPr>
      <w:r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A redação trazida pelos </w:t>
      </w:r>
      <w:r w:rsidRPr="00E50E23">
        <w:rPr>
          <w:rStyle w:val="fontstyle21"/>
          <w:rFonts w:asciiTheme="minorHAnsi" w:hAnsiTheme="minorHAnsi" w:cstheme="minorHAnsi"/>
          <w:sz w:val="23"/>
          <w:szCs w:val="23"/>
        </w:rPr>
        <w:t>§§2º, 3º e 4º do art. 3º</w:t>
      </w:r>
      <w:r>
        <w:rPr>
          <w:rStyle w:val="fontstyle21"/>
          <w:rFonts w:asciiTheme="minorHAnsi" w:hAnsiTheme="minorHAnsi" w:cstheme="minorHAnsi"/>
          <w:sz w:val="23"/>
          <w:szCs w:val="23"/>
        </w:rPr>
        <w:t xml:space="preserve"> traz </w:t>
      </w:r>
      <w:r>
        <w:rPr>
          <w:rStyle w:val="fontstyle21"/>
          <w:rFonts w:asciiTheme="minorHAnsi" w:hAnsiTheme="minorHAnsi" w:cstheme="minorHAnsi"/>
          <w:b/>
          <w:bCs/>
          <w:sz w:val="23"/>
          <w:szCs w:val="23"/>
        </w:rPr>
        <w:t>ilegítima</w:t>
      </w:r>
      <w:r>
        <w:rPr>
          <w:rStyle w:val="fontstyle21"/>
          <w:rFonts w:asciiTheme="minorHAnsi" w:hAnsiTheme="minorHAnsi" w:cstheme="minorHAnsi"/>
          <w:sz w:val="23"/>
          <w:szCs w:val="23"/>
        </w:rPr>
        <w:t xml:space="preserve"> </w:t>
      </w:r>
      <w:r w:rsidR="0072028D" w:rsidRPr="0072028D">
        <w:rPr>
          <w:rStyle w:val="fontstyle21"/>
          <w:rFonts w:asciiTheme="minorHAnsi" w:hAnsiTheme="minorHAnsi" w:cstheme="minorHAnsi"/>
          <w:sz w:val="23"/>
          <w:szCs w:val="23"/>
        </w:rPr>
        <w:t>e</w:t>
      </w:r>
      <w:r w:rsidR="0072028D" w:rsidRPr="0072028D">
        <w:rPr>
          <w:rStyle w:val="fontstyle21"/>
          <w:rFonts w:asciiTheme="minorHAnsi" w:hAnsiTheme="minorHAnsi" w:cstheme="minorHAnsi"/>
          <w:b/>
          <w:bCs/>
          <w:sz w:val="23"/>
          <w:szCs w:val="23"/>
        </w:rPr>
        <w:t xml:space="preserve"> injustificada</w:t>
      </w:r>
      <w:r w:rsidR="0072028D">
        <w:rPr>
          <w:rStyle w:val="fontstyle21"/>
          <w:rFonts w:asciiTheme="minorHAnsi" w:hAnsiTheme="minorHAnsi" w:cstheme="minorHAnsi"/>
          <w:sz w:val="23"/>
          <w:szCs w:val="23"/>
        </w:rPr>
        <w:t xml:space="preserve"> </w:t>
      </w:r>
      <w:r>
        <w:rPr>
          <w:rStyle w:val="fontstyle21"/>
          <w:rFonts w:asciiTheme="minorHAnsi" w:hAnsiTheme="minorHAnsi" w:cstheme="minorHAnsi"/>
          <w:sz w:val="23"/>
          <w:szCs w:val="23"/>
        </w:rPr>
        <w:t xml:space="preserve">diferenciação entre aqueles que firmaram </w:t>
      </w:r>
      <w:r w:rsidRPr="0072028D">
        <w:rPr>
          <w:rStyle w:val="fontstyle21"/>
          <w:rFonts w:asciiTheme="minorHAnsi" w:hAnsiTheme="minorHAnsi" w:cstheme="minorHAnsi"/>
          <w:b/>
          <w:bCs/>
          <w:sz w:val="23"/>
          <w:szCs w:val="23"/>
        </w:rPr>
        <w:t>termos de opção até 2021</w:t>
      </w:r>
      <w:r>
        <w:rPr>
          <w:rStyle w:val="fontstyle21"/>
          <w:rFonts w:asciiTheme="minorHAnsi" w:hAnsiTheme="minorHAnsi" w:cstheme="minorHAnsi"/>
          <w:sz w:val="23"/>
          <w:szCs w:val="23"/>
        </w:rPr>
        <w:t xml:space="preserve"> e </w:t>
      </w:r>
      <w:r w:rsidRPr="008D126D">
        <w:rPr>
          <w:rStyle w:val="fontstyle21"/>
          <w:rFonts w:asciiTheme="minorHAnsi" w:hAnsiTheme="minorHAnsi" w:cstheme="minorHAnsi"/>
          <w:b/>
          <w:bCs/>
          <w:sz w:val="23"/>
          <w:szCs w:val="23"/>
        </w:rPr>
        <w:t xml:space="preserve">aqueles que </w:t>
      </w:r>
      <w:r w:rsidR="0072028D" w:rsidRPr="008D126D">
        <w:rPr>
          <w:rStyle w:val="fontstyle21"/>
          <w:rFonts w:asciiTheme="minorHAnsi" w:hAnsiTheme="minorHAnsi" w:cstheme="minorHAnsi"/>
          <w:b/>
          <w:bCs/>
          <w:sz w:val="23"/>
          <w:szCs w:val="23"/>
        </w:rPr>
        <w:t xml:space="preserve">firmaram ou </w:t>
      </w:r>
      <w:r w:rsidRPr="008D126D">
        <w:rPr>
          <w:rStyle w:val="fontstyle21"/>
          <w:rFonts w:asciiTheme="minorHAnsi" w:hAnsiTheme="minorHAnsi" w:cstheme="minorHAnsi"/>
          <w:b/>
          <w:bCs/>
          <w:sz w:val="23"/>
          <w:szCs w:val="23"/>
        </w:rPr>
        <w:t>firmar</w:t>
      </w:r>
      <w:r w:rsidR="0072028D" w:rsidRPr="008D126D">
        <w:rPr>
          <w:rStyle w:val="fontstyle21"/>
          <w:rFonts w:asciiTheme="minorHAnsi" w:hAnsiTheme="minorHAnsi" w:cstheme="minorHAnsi"/>
          <w:b/>
          <w:bCs/>
          <w:sz w:val="23"/>
          <w:szCs w:val="23"/>
        </w:rPr>
        <w:t>ão</w:t>
      </w:r>
      <w:r w:rsidRPr="008D126D">
        <w:rPr>
          <w:rStyle w:val="fontstyle21"/>
          <w:rFonts w:asciiTheme="minorHAnsi" w:hAnsiTheme="minorHAnsi" w:cstheme="minorHAnsi"/>
          <w:b/>
          <w:bCs/>
          <w:sz w:val="23"/>
          <w:szCs w:val="23"/>
        </w:rPr>
        <w:t xml:space="preserve"> termos a partir de 2022</w:t>
      </w:r>
      <w:r w:rsidR="008D126D">
        <w:rPr>
          <w:rStyle w:val="fontstyle21"/>
          <w:rFonts w:asciiTheme="minorHAnsi" w:hAnsiTheme="minorHAnsi" w:cstheme="minorHAnsi"/>
          <w:sz w:val="23"/>
          <w:szCs w:val="23"/>
        </w:rPr>
        <w:t>, de forma a reduzir consideravelmente o benefício especial para estes últimos.</w:t>
      </w:r>
      <w:r w:rsidR="008D126D" w:rsidRPr="00E50E23">
        <w:rPr>
          <w:rStyle w:val="fontstyle21"/>
          <w:rFonts w:asciiTheme="minorHAnsi" w:hAnsiTheme="minorHAnsi" w:cstheme="minorHAnsi"/>
          <w:sz w:val="23"/>
          <w:szCs w:val="23"/>
        </w:rPr>
        <w:t xml:space="preserve"> </w:t>
      </w:r>
      <w:r w:rsidR="0072028D">
        <w:rPr>
          <w:rStyle w:val="fontstyle21"/>
          <w:rFonts w:asciiTheme="minorHAnsi" w:hAnsiTheme="minorHAnsi" w:cstheme="minorHAnsi"/>
          <w:sz w:val="23"/>
          <w:szCs w:val="23"/>
        </w:rPr>
        <w:t xml:space="preserve">Trata-se </w:t>
      </w:r>
      <w:r w:rsidR="0072028D" w:rsidRPr="00E50E23">
        <w:rPr>
          <w:rStyle w:val="fontstyle21"/>
          <w:rFonts w:asciiTheme="minorHAnsi" w:hAnsiTheme="minorHAnsi" w:cstheme="minorHAnsi"/>
          <w:sz w:val="23"/>
          <w:szCs w:val="23"/>
        </w:rPr>
        <w:t xml:space="preserve">de verdadeira </w:t>
      </w:r>
      <w:r w:rsidR="0072028D" w:rsidRPr="00E50E23">
        <w:rPr>
          <w:rStyle w:val="fontstyle21"/>
          <w:rFonts w:asciiTheme="minorHAnsi" w:hAnsiTheme="minorHAnsi" w:cstheme="minorHAnsi"/>
          <w:b/>
          <w:bCs/>
          <w:sz w:val="23"/>
          <w:szCs w:val="23"/>
        </w:rPr>
        <w:t xml:space="preserve">punição </w:t>
      </w:r>
      <w:r w:rsidR="0072028D" w:rsidRPr="00E50E23">
        <w:rPr>
          <w:rStyle w:val="fontstyle21"/>
          <w:rFonts w:asciiTheme="minorHAnsi" w:hAnsiTheme="minorHAnsi" w:cstheme="minorHAnsi"/>
          <w:sz w:val="23"/>
          <w:szCs w:val="23"/>
        </w:rPr>
        <w:t xml:space="preserve">aos servidores públicos que não optaram ao RPC </w:t>
      </w:r>
      <w:r w:rsidR="0072028D">
        <w:rPr>
          <w:rStyle w:val="fontstyle21"/>
          <w:rFonts w:asciiTheme="minorHAnsi" w:hAnsiTheme="minorHAnsi" w:cstheme="minorHAnsi"/>
          <w:sz w:val="23"/>
          <w:szCs w:val="23"/>
        </w:rPr>
        <w:t xml:space="preserve">até 2021, </w:t>
      </w:r>
      <w:r w:rsidR="0072028D">
        <w:rPr>
          <w:rStyle w:val="fontstyle21"/>
          <w:rFonts w:asciiTheme="minorHAnsi" w:hAnsiTheme="minorHAnsi" w:cstheme="minorHAnsi"/>
          <w:b/>
          <w:bCs/>
          <w:sz w:val="23"/>
          <w:szCs w:val="23"/>
        </w:rPr>
        <w:t>sendo que</w:t>
      </w:r>
      <w:r w:rsidR="008D126D">
        <w:rPr>
          <w:rStyle w:val="fontstyle21"/>
          <w:rFonts w:asciiTheme="minorHAnsi" w:hAnsiTheme="minorHAnsi" w:cstheme="minorHAnsi"/>
          <w:b/>
          <w:bCs/>
          <w:sz w:val="23"/>
          <w:szCs w:val="23"/>
        </w:rPr>
        <w:t>,</w:t>
      </w:r>
      <w:r w:rsidR="0072028D">
        <w:rPr>
          <w:rStyle w:val="fontstyle21"/>
          <w:rFonts w:asciiTheme="minorHAnsi" w:hAnsiTheme="minorHAnsi" w:cstheme="minorHAnsi"/>
          <w:b/>
          <w:bCs/>
          <w:sz w:val="23"/>
          <w:szCs w:val="23"/>
        </w:rPr>
        <w:t xml:space="preserve"> desde 29.03.2019</w:t>
      </w:r>
      <w:r w:rsidR="008D126D">
        <w:rPr>
          <w:rStyle w:val="fontstyle21"/>
          <w:rFonts w:asciiTheme="minorHAnsi" w:hAnsiTheme="minorHAnsi" w:cstheme="minorHAnsi"/>
          <w:b/>
          <w:bCs/>
          <w:sz w:val="23"/>
          <w:szCs w:val="23"/>
        </w:rPr>
        <w:t>,</w:t>
      </w:r>
      <w:r w:rsidR="0072028D">
        <w:rPr>
          <w:rStyle w:val="fontstyle21"/>
          <w:rFonts w:asciiTheme="minorHAnsi" w:hAnsiTheme="minorHAnsi" w:cstheme="minorHAnsi"/>
          <w:b/>
          <w:bCs/>
          <w:sz w:val="23"/>
          <w:szCs w:val="23"/>
        </w:rPr>
        <w:t xml:space="preserve"> não havia mais direito,</w:t>
      </w:r>
      <w:r w:rsidR="008D126D">
        <w:rPr>
          <w:rStyle w:val="fontstyle21"/>
          <w:rFonts w:asciiTheme="minorHAnsi" w:hAnsiTheme="minorHAnsi" w:cstheme="minorHAnsi"/>
          <w:b/>
          <w:bCs/>
          <w:sz w:val="23"/>
          <w:szCs w:val="23"/>
        </w:rPr>
        <w:t xml:space="preserve"> previsto em</w:t>
      </w:r>
      <w:r w:rsidR="0072028D">
        <w:rPr>
          <w:rStyle w:val="fontstyle21"/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8D126D">
        <w:rPr>
          <w:rStyle w:val="fontstyle21"/>
          <w:rFonts w:asciiTheme="minorHAnsi" w:hAnsiTheme="minorHAnsi" w:cstheme="minorHAnsi"/>
          <w:b/>
          <w:bCs/>
          <w:sz w:val="23"/>
          <w:szCs w:val="23"/>
        </w:rPr>
        <w:t xml:space="preserve">lei, de opção ao RPC. </w:t>
      </w:r>
      <w:r w:rsidR="006C2CE8">
        <w:rPr>
          <w:rStyle w:val="fontstyle21"/>
          <w:rFonts w:asciiTheme="minorHAnsi" w:hAnsiTheme="minorHAnsi" w:cstheme="minorHAnsi"/>
          <w:sz w:val="23"/>
          <w:szCs w:val="23"/>
        </w:rPr>
        <w:t xml:space="preserve">Na prática, </w:t>
      </w:r>
      <w:r w:rsidR="008D126D">
        <w:rPr>
          <w:rStyle w:val="fontstyle21"/>
          <w:rFonts w:asciiTheme="minorHAnsi" w:hAnsiTheme="minorHAnsi" w:cstheme="minorHAnsi"/>
          <w:sz w:val="23"/>
          <w:szCs w:val="23"/>
        </w:rPr>
        <w:t xml:space="preserve">privilegia-se, </w:t>
      </w:r>
      <w:r w:rsidR="008D126D" w:rsidRPr="006C2CE8">
        <w:rPr>
          <w:rStyle w:val="fontstyle21"/>
          <w:rFonts w:asciiTheme="minorHAnsi" w:hAnsiTheme="minorHAnsi" w:cstheme="minorHAnsi"/>
          <w:b/>
          <w:bCs/>
          <w:sz w:val="23"/>
          <w:szCs w:val="23"/>
        </w:rPr>
        <w:t>sem justo motivo</w:t>
      </w:r>
      <w:r w:rsidR="008D126D">
        <w:rPr>
          <w:rStyle w:val="fontstyle21"/>
          <w:rFonts w:asciiTheme="minorHAnsi" w:hAnsiTheme="minorHAnsi" w:cstheme="minorHAnsi"/>
          <w:sz w:val="23"/>
          <w:szCs w:val="23"/>
        </w:rPr>
        <w:t>, tão somente aqueles que</w:t>
      </w:r>
      <w:r w:rsidR="006C2CE8">
        <w:rPr>
          <w:rStyle w:val="fontstyle21"/>
          <w:rFonts w:asciiTheme="minorHAnsi" w:hAnsiTheme="minorHAnsi" w:cstheme="minorHAnsi"/>
          <w:sz w:val="23"/>
          <w:szCs w:val="23"/>
        </w:rPr>
        <w:t>, mesmo sem previsão legal expressa,</w:t>
      </w:r>
      <w:r w:rsidR="008D126D">
        <w:rPr>
          <w:rStyle w:val="fontstyle21"/>
          <w:rFonts w:asciiTheme="minorHAnsi" w:hAnsiTheme="minorHAnsi" w:cstheme="minorHAnsi"/>
          <w:sz w:val="23"/>
          <w:szCs w:val="23"/>
        </w:rPr>
        <w:t xml:space="preserve"> ajuizaram, por exemplo, ações judiciais para assegurar o direito de opção</w:t>
      </w:r>
      <w:r w:rsidR="006C2CE8">
        <w:rPr>
          <w:rStyle w:val="fontstyle21"/>
          <w:rFonts w:asciiTheme="minorHAnsi" w:hAnsiTheme="minorHAnsi" w:cstheme="minorHAnsi"/>
          <w:sz w:val="23"/>
          <w:szCs w:val="23"/>
        </w:rPr>
        <w:t xml:space="preserve"> ao RPC</w:t>
      </w:r>
      <w:r w:rsidR="008D126D">
        <w:rPr>
          <w:rStyle w:val="fontstyle21"/>
          <w:rFonts w:asciiTheme="minorHAnsi" w:hAnsiTheme="minorHAnsi" w:cstheme="minorHAnsi"/>
          <w:sz w:val="23"/>
          <w:szCs w:val="23"/>
        </w:rPr>
        <w:t xml:space="preserve"> depois do exaurimento do prazo </w:t>
      </w:r>
      <w:r w:rsidR="006C2CE8">
        <w:rPr>
          <w:rStyle w:val="fontstyle21"/>
          <w:rFonts w:asciiTheme="minorHAnsi" w:hAnsiTheme="minorHAnsi" w:cstheme="minorHAnsi"/>
          <w:sz w:val="23"/>
          <w:szCs w:val="23"/>
        </w:rPr>
        <w:t xml:space="preserve">reinstaurado pela </w:t>
      </w:r>
      <w:r w:rsidR="006C2CE8" w:rsidRPr="00E50E23">
        <w:rPr>
          <w:rStyle w:val="fontstyle11"/>
          <w:rFonts w:asciiTheme="minorHAnsi" w:hAnsiTheme="minorHAnsi" w:cstheme="minorHAnsi"/>
          <w:sz w:val="23"/>
          <w:szCs w:val="23"/>
        </w:rPr>
        <w:t>Lei n. 13.809/2019</w:t>
      </w:r>
      <w:r w:rsidR="006C2CE8">
        <w:rPr>
          <w:rStyle w:val="fontstyle11"/>
          <w:rFonts w:asciiTheme="minorHAnsi" w:hAnsiTheme="minorHAnsi" w:cstheme="minorHAnsi"/>
          <w:sz w:val="23"/>
          <w:szCs w:val="23"/>
        </w:rPr>
        <w:t xml:space="preserve"> até</w:t>
      </w:r>
      <w:r w:rsidR="006C2CE8"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 29.03.2</w:t>
      </w:r>
      <w:r w:rsidR="006C2CE8">
        <w:rPr>
          <w:rStyle w:val="fontstyle11"/>
          <w:rFonts w:asciiTheme="minorHAnsi" w:hAnsiTheme="minorHAnsi" w:cstheme="minorHAnsi"/>
          <w:sz w:val="23"/>
          <w:szCs w:val="23"/>
        </w:rPr>
        <w:t>019.</w:t>
      </w:r>
    </w:p>
    <w:p w14:paraId="61096C45" w14:textId="78E27FBF" w:rsidR="00454797" w:rsidRDefault="00424AAB" w:rsidP="005F2EA9">
      <w:pPr>
        <w:jc w:val="both"/>
        <w:rPr>
          <w:rStyle w:val="fontstyle11"/>
          <w:rFonts w:asciiTheme="minorHAnsi" w:hAnsiTheme="minorHAnsi" w:cstheme="minorHAnsi"/>
          <w:sz w:val="23"/>
          <w:szCs w:val="23"/>
        </w:rPr>
      </w:pPr>
      <w:r w:rsidRPr="00E50E23">
        <w:rPr>
          <w:rStyle w:val="fontstyle11"/>
          <w:rFonts w:asciiTheme="minorHAnsi" w:hAnsiTheme="minorHAnsi" w:cstheme="minorHAnsi"/>
          <w:sz w:val="23"/>
          <w:szCs w:val="23"/>
        </w:rPr>
        <w:t>Ora,</w:t>
      </w:r>
      <w:r w:rsidR="008A3BAD"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 se o objetivo é dar uma </w:t>
      </w:r>
      <w:r w:rsidR="008554B7" w:rsidRPr="00E50E23">
        <w:rPr>
          <w:rStyle w:val="fontstyle11"/>
          <w:rFonts w:asciiTheme="minorHAnsi" w:hAnsiTheme="minorHAnsi" w:cstheme="minorHAnsi"/>
          <w:sz w:val="23"/>
          <w:szCs w:val="23"/>
        </w:rPr>
        <w:t>derradeira e excepcional</w:t>
      </w:r>
      <w:r w:rsidR="008A3BAD"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 oportunidade de opção</w:t>
      </w:r>
      <w:r w:rsidR="006C2CE8">
        <w:rPr>
          <w:rStyle w:val="fontstyle11"/>
          <w:rFonts w:asciiTheme="minorHAnsi" w:hAnsiTheme="minorHAnsi" w:cstheme="minorHAnsi"/>
          <w:sz w:val="23"/>
          <w:szCs w:val="23"/>
        </w:rPr>
        <w:t xml:space="preserve"> ao RPC</w:t>
      </w:r>
      <w:r w:rsidR="008A3BAD" w:rsidRPr="00E50E23">
        <w:rPr>
          <w:rStyle w:val="fontstyle11"/>
          <w:rFonts w:asciiTheme="minorHAnsi" w:hAnsiTheme="minorHAnsi" w:cstheme="minorHAnsi"/>
          <w:sz w:val="23"/>
          <w:szCs w:val="23"/>
        </w:rPr>
        <w:t>, não se justifica piorar as regras</w:t>
      </w:r>
      <w:r w:rsidR="006C2CE8">
        <w:rPr>
          <w:rStyle w:val="fontstyle11"/>
          <w:rFonts w:asciiTheme="minorHAnsi" w:hAnsiTheme="minorHAnsi" w:cstheme="minorHAnsi"/>
          <w:sz w:val="23"/>
          <w:szCs w:val="23"/>
        </w:rPr>
        <w:t xml:space="preserve"> somente para aqueles que fizeram essa opção a partir de 2022</w:t>
      </w:r>
      <w:r w:rsidR="008A3BAD" w:rsidRPr="00E50E23">
        <w:rPr>
          <w:rStyle w:val="fontstyle11"/>
          <w:rFonts w:asciiTheme="minorHAnsi" w:hAnsiTheme="minorHAnsi" w:cstheme="minorHAnsi"/>
          <w:sz w:val="23"/>
          <w:szCs w:val="23"/>
        </w:rPr>
        <w:t>, reduzindo o benefício especial</w:t>
      </w:r>
      <w:r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 </w:t>
      </w:r>
      <w:r w:rsidR="00E12968" w:rsidRPr="00E50E23">
        <w:rPr>
          <w:rStyle w:val="fontstyle11"/>
          <w:rFonts w:asciiTheme="minorHAnsi" w:hAnsiTheme="minorHAnsi" w:cstheme="minorHAnsi"/>
          <w:sz w:val="23"/>
          <w:szCs w:val="23"/>
        </w:rPr>
        <w:t>e, por consequência, desincentivando a migração para o RPC.</w:t>
      </w:r>
      <w:r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 Ao contrário, deve-se </w:t>
      </w:r>
      <w:r w:rsidRPr="00E50E23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 xml:space="preserve">incentivar </w:t>
      </w:r>
      <w:r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que </w:t>
      </w:r>
      <w:r w:rsidR="00F528BA" w:rsidRPr="00E50E23">
        <w:rPr>
          <w:rStyle w:val="fontstyle11"/>
          <w:rFonts w:asciiTheme="minorHAnsi" w:hAnsiTheme="minorHAnsi" w:cstheme="minorHAnsi"/>
          <w:sz w:val="23"/>
          <w:szCs w:val="23"/>
        </w:rPr>
        <w:t>os</w:t>
      </w:r>
      <w:r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 servidores</w:t>
      </w:r>
      <w:r w:rsidR="00F528BA"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 até então não optantes</w:t>
      </w:r>
      <w:r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 façam a opção.</w:t>
      </w:r>
      <w:r w:rsidR="00454797"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 </w:t>
      </w:r>
    </w:p>
    <w:p w14:paraId="71B1312A" w14:textId="465CA95A" w:rsidR="006C2CE8" w:rsidRDefault="00331C43" w:rsidP="006C2CE8">
      <w:pPr>
        <w:jc w:val="both"/>
        <w:rPr>
          <w:rStyle w:val="fontstyle11"/>
          <w:rFonts w:asciiTheme="minorHAnsi" w:hAnsiTheme="minorHAnsi" w:cstheme="minorHAnsi"/>
          <w:sz w:val="23"/>
          <w:szCs w:val="23"/>
        </w:rPr>
      </w:pPr>
      <w:r>
        <w:rPr>
          <w:rStyle w:val="fontstyle11"/>
          <w:rFonts w:asciiTheme="minorHAnsi" w:hAnsiTheme="minorHAnsi" w:cstheme="minorHAnsi"/>
          <w:sz w:val="23"/>
          <w:szCs w:val="23"/>
        </w:rPr>
        <w:t>Não</w:t>
      </w:r>
      <w:r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 procede a alegação de que é necessário se adequar às novas regras constitucionais de aposentadoria</w:t>
      </w:r>
      <w:r>
        <w:rPr>
          <w:rStyle w:val="fontstyle11"/>
          <w:rFonts w:asciiTheme="minorHAnsi" w:hAnsiTheme="minorHAnsi" w:cstheme="minorHAnsi"/>
          <w:sz w:val="23"/>
          <w:szCs w:val="23"/>
        </w:rPr>
        <w:t xml:space="preserve"> da EC n. 103/19, </w:t>
      </w:r>
      <w:r w:rsidR="001917BD">
        <w:rPr>
          <w:rStyle w:val="fontstyle11"/>
          <w:rFonts w:asciiTheme="minorHAnsi" w:hAnsiTheme="minorHAnsi" w:cstheme="minorHAnsi"/>
          <w:sz w:val="23"/>
          <w:szCs w:val="23"/>
        </w:rPr>
        <w:t xml:space="preserve">como constou da exposição de motivos da </w:t>
      </w:r>
      <w:proofErr w:type="spellStart"/>
      <w:r w:rsidR="001917BD">
        <w:rPr>
          <w:rStyle w:val="fontstyle11"/>
          <w:rFonts w:asciiTheme="minorHAnsi" w:hAnsiTheme="minorHAnsi" w:cstheme="minorHAnsi"/>
          <w:sz w:val="23"/>
          <w:szCs w:val="23"/>
        </w:rPr>
        <w:t>MPv</w:t>
      </w:r>
      <w:proofErr w:type="spellEnd"/>
      <w:r>
        <w:rPr>
          <w:rStyle w:val="fontstyle11"/>
          <w:rFonts w:asciiTheme="minorHAnsi" w:hAnsiTheme="minorHAnsi" w:cstheme="minorHAnsi"/>
          <w:sz w:val="23"/>
          <w:szCs w:val="23"/>
        </w:rPr>
        <w:t xml:space="preserve">. Afinal, </w:t>
      </w:r>
      <w:r w:rsidR="001917BD" w:rsidRPr="001917BD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>todos</w:t>
      </w:r>
      <w:r w:rsidR="001917BD">
        <w:rPr>
          <w:rStyle w:val="fontstyle11"/>
          <w:rFonts w:asciiTheme="minorHAnsi" w:hAnsiTheme="minorHAnsi" w:cstheme="minorHAnsi"/>
          <w:sz w:val="23"/>
          <w:szCs w:val="23"/>
        </w:rPr>
        <w:t xml:space="preserve"> aqueles que</w:t>
      </w:r>
      <w:r>
        <w:rPr>
          <w:rStyle w:val="fontstyle11"/>
          <w:rFonts w:asciiTheme="minorHAnsi" w:hAnsiTheme="minorHAnsi" w:cstheme="minorHAnsi"/>
          <w:sz w:val="23"/>
          <w:szCs w:val="23"/>
        </w:rPr>
        <w:t>, por algum meio,</w:t>
      </w:r>
      <w:r w:rsidR="001917BD">
        <w:rPr>
          <w:rStyle w:val="fontstyle11"/>
          <w:rFonts w:asciiTheme="minorHAnsi" w:hAnsiTheme="minorHAnsi" w:cstheme="minorHAnsi"/>
          <w:sz w:val="23"/>
          <w:szCs w:val="23"/>
        </w:rPr>
        <w:t xml:space="preserve"> </w:t>
      </w:r>
      <w:r>
        <w:rPr>
          <w:rStyle w:val="fontstyle11"/>
          <w:rFonts w:asciiTheme="minorHAnsi" w:hAnsiTheme="minorHAnsi" w:cstheme="minorHAnsi"/>
          <w:sz w:val="23"/>
          <w:szCs w:val="23"/>
        </w:rPr>
        <w:t xml:space="preserve">firmaram termo de opção ao RPC </w:t>
      </w:r>
      <w:r w:rsidR="001917BD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>depois de 19</w:t>
      </w:r>
      <w:r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 xml:space="preserve">.11.2019, data de promulgação da PEC da Reforma da Previdência, </w:t>
      </w:r>
      <w:r w:rsidR="001917BD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 xml:space="preserve">já estavam submetidos às novas regras </w:t>
      </w:r>
      <w:r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>previdenciárias</w:t>
      </w:r>
      <w:r w:rsidR="001917BD">
        <w:rPr>
          <w:rStyle w:val="fontstyle11"/>
          <w:rFonts w:asciiTheme="minorHAnsi" w:hAnsiTheme="minorHAnsi" w:cstheme="minorHAnsi"/>
          <w:sz w:val="23"/>
          <w:szCs w:val="23"/>
        </w:rPr>
        <w:t xml:space="preserve">. Não há, assim, </w:t>
      </w:r>
      <w:r>
        <w:rPr>
          <w:rStyle w:val="fontstyle11"/>
          <w:rFonts w:asciiTheme="minorHAnsi" w:hAnsiTheme="minorHAnsi" w:cstheme="minorHAnsi"/>
          <w:sz w:val="23"/>
          <w:szCs w:val="23"/>
        </w:rPr>
        <w:t xml:space="preserve">justo </w:t>
      </w:r>
      <w:r w:rsidR="001917BD">
        <w:rPr>
          <w:rStyle w:val="fontstyle11"/>
          <w:rFonts w:asciiTheme="minorHAnsi" w:hAnsiTheme="minorHAnsi" w:cstheme="minorHAnsi"/>
          <w:sz w:val="23"/>
          <w:szCs w:val="23"/>
        </w:rPr>
        <w:t xml:space="preserve">fator de discrímen entre aqueles optantes </w:t>
      </w:r>
      <w:r w:rsidR="001917BD" w:rsidRPr="00331C43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>até 2021 e a partir de 2022</w:t>
      </w:r>
      <w:r>
        <w:rPr>
          <w:rStyle w:val="fontstyle11"/>
          <w:rFonts w:asciiTheme="minorHAnsi" w:hAnsiTheme="minorHAnsi" w:cstheme="minorHAnsi"/>
          <w:sz w:val="23"/>
          <w:szCs w:val="23"/>
        </w:rPr>
        <w:t>.</w:t>
      </w:r>
    </w:p>
    <w:p w14:paraId="0D598E44" w14:textId="6B1EAC38" w:rsidR="00C00124" w:rsidRDefault="001917BD" w:rsidP="00445E25">
      <w:pPr>
        <w:jc w:val="both"/>
        <w:rPr>
          <w:rStyle w:val="fontstyle11"/>
          <w:rFonts w:asciiTheme="minorHAnsi" w:hAnsiTheme="minorHAnsi" w:cstheme="minorHAnsi"/>
          <w:sz w:val="23"/>
          <w:szCs w:val="23"/>
        </w:rPr>
      </w:pPr>
      <w:r>
        <w:rPr>
          <w:rStyle w:val="fontstyle11"/>
          <w:rFonts w:asciiTheme="minorHAnsi" w:hAnsiTheme="minorHAnsi" w:cstheme="minorHAnsi"/>
          <w:sz w:val="23"/>
          <w:szCs w:val="23"/>
        </w:rPr>
        <w:lastRenderedPageBreak/>
        <w:t xml:space="preserve">Também é defesa eventual alegação de </w:t>
      </w:r>
      <w:r w:rsidR="006C2CE8"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que </w:t>
      </w:r>
      <w:r w:rsidR="006C2CE8">
        <w:rPr>
          <w:rStyle w:val="fontstyle11"/>
          <w:rFonts w:asciiTheme="minorHAnsi" w:hAnsiTheme="minorHAnsi" w:cstheme="minorHAnsi"/>
          <w:sz w:val="23"/>
          <w:szCs w:val="23"/>
        </w:rPr>
        <w:t xml:space="preserve">seria certo privilegiar </w:t>
      </w:r>
      <w:r w:rsidR="006C2CE8"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aqueles que optaram até </w:t>
      </w:r>
      <w:r w:rsidR="006C2CE8">
        <w:rPr>
          <w:rStyle w:val="fontstyle11"/>
          <w:rFonts w:asciiTheme="minorHAnsi" w:hAnsiTheme="minorHAnsi" w:cstheme="minorHAnsi"/>
          <w:sz w:val="23"/>
          <w:szCs w:val="23"/>
        </w:rPr>
        <w:t>2021</w:t>
      </w:r>
      <w:r w:rsidR="00445E25">
        <w:rPr>
          <w:rStyle w:val="fontstyle11"/>
          <w:rFonts w:asciiTheme="minorHAnsi" w:hAnsiTheme="minorHAnsi" w:cstheme="minorHAnsi"/>
          <w:sz w:val="23"/>
          <w:szCs w:val="23"/>
        </w:rPr>
        <w:t>,</w:t>
      </w:r>
      <w:r w:rsidR="006C2CE8"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 tão somente </w:t>
      </w:r>
      <w:r w:rsidR="006C2CE8">
        <w:rPr>
          <w:rStyle w:val="fontstyle11"/>
          <w:rFonts w:asciiTheme="minorHAnsi" w:hAnsiTheme="minorHAnsi" w:cstheme="minorHAnsi"/>
          <w:sz w:val="23"/>
          <w:szCs w:val="23"/>
        </w:rPr>
        <w:t>porque o fizeram com maior antecedência</w:t>
      </w:r>
      <w:r>
        <w:rPr>
          <w:rStyle w:val="fontstyle11"/>
          <w:rFonts w:asciiTheme="minorHAnsi" w:hAnsiTheme="minorHAnsi" w:cstheme="minorHAnsi"/>
          <w:sz w:val="23"/>
          <w:szCs w:val="23"/>
        </w:rPr>
        <w:t>.</w:t>
      </w:r>
      <w:r w:rsidR="006C2CE8"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 Até porque, frisa-se, </w:t>
      </w:r>
      <w:r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>desde 29.03.2019 não havia mais</w:t>
      </w:r>
      <w:r w:rsidR="00445E25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 xml:space="preserve"> previsão legal expressa de direito de opção ao RPC. </w:t>
      </w:r>
      <w:r w:rsidR="00445E25" w:rsidRPr="00445E25">
        <w:rPr>
          <w:rStyle w:val="fontstyle11"/>
          <w:rFonts w:asciiTheme="minorHAnsi" w:hAnsiTheme="minorHAnsi" w:cstheme="minorHAnsi"/>
          <w:sz w:val="23"/>
          <w:szCs w:val="23"/>
        </w:rPr>
        <w:t>Inexistindo essa previsão legal,</w:t>
      </w:r>
      <w:r w:rsidR="00445E25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445E25">
        <w:rPr>
          <w:rStyle w:val="fontstyle11"/>
          <w:rFonts w:asciiTheme="minorHAnsi" w:hAnsiTheme="minorHAnsi" w:cstheme="minorHAnsi"/>
          <w:sz w:val="23"/>
          <w:szCs w:val="23"/>
        </w:rPr>
        <w:t>não se pode punir aqueles que foram impedidos de optar pelo RPC depois de 29.03.2019.</w:t>
      </w:r>
    </w:p>
    <w:p w14:paraId="0ABE76E8" w14:textId="17156384" w:rsidR="00331C43" w:rsidRDefault="00445E25" w:rsidP="006C2CE8">
      <w:pPr>
        <w:jc w:val="both"/>
        <w:rPr>
          <w:rStyle w:val="fontstyle11"/>
          <w:rFonts w:asciiTheme="minorHAnsi" w:hAnsiTheme="minorHAnsi" w:cstheme="minorHAnsi"/>
          <w:sz w:val="23"/>
          <w:szCs w:val="23"/>
        </w:rPr>
      </w:pPr>
      <w:r>
        <w:rPr>
          <w:rStyle w:val="fontstyle11"/>
          <w:rFonts w:asciiTheme="minorHAnsi" w:hAnsiTheme="minorHAnsi" w:cstheme="minorHAnsi"/>
          <w:sz w:val="23"/>
          <w:szCs w:val="23"/>
        </w:rPr>
        <w:t xml:space="preserve">Com efeito, </w:t>
      </w:r>
      <w:r w:rsidR="00C00124">
        <w:rPr>
          <w:rStyle w:val="fontstyle11"/>
          <w:rFonts w:asciiTheme="minorHAnsi" w:hAnsiTheme="minorHAnsi" w:cstheme="minorHAnsi"/>
          <w:sz w:val="23"/>
          <w:szCs w:val="23"/>
        </w:rPr>
        <w:t xml:space="preserve">é justa e necessária a </w:t>
      </w:r>
      <w:r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>reabertura deste prazo</w:t>
      </w:r>
      <w:r w:rsidR="00C00124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>,</w:t>
      </w:r>
      <w:r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 xml:space="preserve"> finalizado em 29 de março 2019, especialmente depois da aprovação da Reforma da Previdência</w:t>
      </w:r>
      <w:r w:rsidR="00C00124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 xml:space="preserve">. </w:t>
      </w:r>
      <w:r w:rsidRPr="00445E25">
        <w:rPr>
          <w:rStyle w:val="fontstyle11"/>
          <w:rFonts w:asciiTheme="minorHAnsi" w:hAnsiTheme="minorHAnsi" w:cstheme="minorHAnsi"/>
          <w:sz w:val="23"/>
          <w:szCs w:val="23"/>
        </w:rPr>
        <w:t xml:space="preserve">Isso porque, desde 20 de fevereiro de 2019, já estava em tramitação a Proposta de Emenda à Constituição n. 9, </w:t>
      </w:r>
      <w:r w:rsidRPr="00E50E23">
        <w:rPr>
          <w:rStyle w:val="fontstyle11"/>
          <w:rFonts w:asciiTheme="minorHAnsi" w:hAnsiTheme="minorHAnsi" w:cstheme="minorHAnsi"/>
          <w:sz w:val="23"/>
          <w:szCs w:val="23"/>
        </w:rPr>
        <w:t>que veio a se consolidar como Emenda Constitucional n. 103/2019</w:t>
      </w:r>
      <w:r w:rsidR="00C00124">
        <w:rPr>
          <w:rStyle w:val="fontstyle11"/>
          <w:rFonts w:asciiTheme="minorHAnsi" w:hAnsiTheme="minorHAnsi" w:cstheme="minorHAnsi"/>
          <w:sz w:val="23"/>
          <w:szCs w:val="23"/>
        </w:rPr>
        <w:t xml:space="preserve">. </w:t>
      </w:r>
      <w:r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Naquele momento, </w:t>
      </w:r>
      <w:r w:rsidR="00C00124">
        <w:rPr>
          <w:rStyle w:val="fontstyle11"/>
          <w:rFonts w:asciiTheme="minorHAnsi" w:hAnsiTheme="minorHAnsi" w:cstheme="minorHAnsi"/>
          <w:sz w:val="23"/>
          <w:szCs w:val="23"/>
        </w:rPr>
        <w:t xml:space="preserve">já </w:t>
      </w:r>
      <w:r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havia um </w:t>
      </w:r>
      <w:r w:rsidRPr="00E50E23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>cenário de fortíssima insegurança jurídica, de modo que os servidores temiam aderir a um regime que, pouco depois, poderia vir a ser alterado</w:t>
      </w:r>
      <w:r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 </w:t>
      </w:r>
      <w:r w:rsidRPr="00E50E23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>substancialmente</w:t>
      </w:r>
      <w:r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. </w:t>
      </w:r>
    </w:p>
    <w:p w14:paraId="277A4C38" w14:textId="50FD1099" w:rsidR="001917BD" w:rsidRPr="00E50E23" w:rsidRDefault="00445E25" w:rsidP="001917BD">
      <w:pPr>
        <w:jc w:val="both"/>
        <w:rPr>
          <w:rStyle w:val="fontstyle11"/>
          <w:rFonts w:asciiTheme="minorHAnsi" w:hAnsiTheme="minorHAnsi" w:cstheme="minorHAnsi"/>
          <w:sz w:val="23"/>
          <w:szCs w:val="23"/>
        </w:rPr>
      </w:pPr>
      <w:r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É justo que, </w:t>
      </w:r>
      <w:r w:rsidRPr="00D766B9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>finalmente conhecidas as novas regras constitucionais de aposentadoria do RPC</w:t>
      </w:r>
      <w:r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, após a promulgação da EC n. 103/19, seja dada nova oportunidade de adesão, </w:t>
      </w:r>
      <w:r w:rsidRPr="00E50E23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 xml:space="preserve">mas sem punição aos servidores públicos </w:t>
      </w:r>
      <w:r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>que optem após 2021.</w:t>
      </w:r>
      <w:r w:rsidR="00331C43">
        <w:rPr>
          <w:rStyle w:val="fontstyle11"/>
          <w:rFonts w:asciiTheme="minorHAnsi" w:hAnsiTheme="minorHAnsi" w:cstheme="minorHAnsi"/>
          <w:sz w:val="23"/>
          <w:szCs w:val="23"/>
        </w:rPr>
        <w:t xml:space="preserve"> Não à toa, </w:t>
      </w:r>
      <w:r w:rsidR="001917BD" w:rsidRPr="00E50E23">
        <w:rPr>
          <w:rStyle w:val="fontstyle11"/>
          <w:rFonts w:asciiTheme="minorHAnsi" w:hAnsiTheme="minorHAnsi" w:cstheme="minorHAnsi"/>
          <w:sz w:val="23"/>
          <w:szCs w:val="23"/>
        </w:rPr>
        <w:t>em recente parecer da Procuradoria-Geral da República (PGR), de 30 de setembro de 2021,</w:t>
      </w:r>
      <w:r w:rsidR="001917BD" w:rsidRPr="00E50E23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1917BD"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apresentados no autos da Ação Direta de Inconstitucionalidade n. 6.255/DF, o PROCURADOR GERAL DA REPÚBLICA AUGUSTO ARAS </w:t>
      </w:r>
      <w:r w:rsidR="001917BD" w:rsidRPr="00E50E23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>opinou que era medida de justiça a reabertura deste prazo depois da aprovação da Reforma da Previdência</w:t>
      </w:r>
      <w:r w:rsidR="001917BD" w:rsidRPr="00E50E23">
        <w:rPr>
          <w:rStyle w:val="fontstyle11"/>
          <w:rFonts w:asciiTheme="minorHAnsi" w:hAnsiTheme="minorHAnsi" w:cstheme="minorHAnsi"/>
          <w:sz w:val="23"/>
          <w:szCs w:val="23"/>
        </w:rPr>
        <w:t>. Confira-se:</w:t>
      </w:r>
    </w:p>
    <w:p w14:paraId="19CACAD3" w14:textId="77777777" w:rsidR="001917BD" w:rsidRPr="00E50E23" w:rsidRDefault="001917BD" w:rsidP="001917BD">
      <w:pPr>
        <w:ind w:left="1843"/>
        <w:jc w:val="both"/>
        <w:rPr>
          <w:rStyle w:val="fontstyle11"/>
          <w:rFonts w:asciiTheme="minorHAnsi" w:hAnsiTheme="minorHAnsi" w:cstheme="minorHAnsi"/>
          <w:sz w:val="23"/>
          <w:szCs w:val="23"/>
        </w:rPr>
      </w:pPr>
      <w:r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De todo modo, tendo em vista tratar-se de </w:t>
      </w:r>
      <w:proofErr w:type="spellStart"/>
      <w:r w:rsidRPr="00E50E23">
        <w:rPr>
          <w:rStyle w:val="fontstyle11"/>
          <w:rFonts w:asciiTheme="minorHAnsi" w:hAnsiTheme="minorHAnsi" w:cstheme="minorHAnsi"/>
          <w:sz w:val="23"/>
          <w:szCs w:val="23"/>
        </w:rPr>
        <w:t>questão</w:t>
      </w:r>
      <w:proofErr w:type="spellEnd"/>
      <w:r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E50E23">
        <w:rPr>
          <w:rStyle w:val="fontstyle11"/>
          <w:rFonts w:asciiTheme="minorHAnsi" w:hAnsiTheme="minorHAnsi" w:cstheme="minorHAnsi"/>
          <w:sz w:val="23"/>
          <w:szCs w:val="23"/>
        </w:rPr>
        <w:t>sensível</w:t>
      </w:r>
      <w:proofErr w:type="spellEnd"/>
      <w:r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 e relevante, que atinge </w:t>
      </w:r>
      <w:proofErr w:type="spellStart"/>
      <w:r w:rsidRPr="00E50E23">
        <w:rPr>
          <w:rStyle w:val="fontstyle11"/>
          <w:rFonts w:asciiTheme="minorHAnsi" w:hAnsiTheme="minorHAnsi" w:cstheme="minorHAnsi"/>
          <w:sz w:val="23"/>
          <w:szCs w:val="23"/>
        </w:rPr>
        <w:t>inúmeros</w:t>
      </w:r>
      <w:proofErr w:type="spellEnd"/>
      <w:r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 servidores </w:t>
      </w:r>
      <w:proofErr w:type="spellStart"/>
      <w:r w:rsidRPr="00E50E23">
        <w:rPr>
          <w:rStyle w:val="fontstyle11"/>
          <w:rFonts w:asciiTheme="minorHAnsi" w:hAnsiTheme="minorHAnsi" w:cstheme="minorHAnsi"/>
          <w:sz w:val="23"/>
          <w:szCs w:val="23"/>
        </w:rPr>
        <w:t>públicos</w:t>
      </w:r>
      <w:proofErr w:type="spellEnd"/>
      <w:r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, a reabertura do prazo para </w:t>
      </w:r>
      <w:proofErr w:type="spellStart"/>
      <w:r w:rsidRPr="00E50E23">
        <w:rPr>
          <w:rStyle w:val="fontstyle11"/>
          <w:rFonts w:asciiTheme="minorHAnsi" w:hAnsiTheme="minorHAnsi" w:cstheme="minorHAnsi"/>
          <w:sz w:val="23"/>
          <w:szCs w:val="23"/>
        </w:rPr>
        <w:t>migração</w:t>
      </w:r>
      <w:proofErr w:type="spellEnd"/>
      <w:r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 de regime – o que, registre-se, ainda </w:t>
      </w:r>
      <w:proofErr w:type="spellStart"/>
      <w:r w:rsidRPr="00E50E23">
        <w:rPr>
          <w:rStyle w:val="fontstyle11"/>
          <w:rFonts w:asciiTheme="minorHAnsi" w:hAnsiTheme="minorHAnsi" w:cstheme="minorHAnsi"/>
          <w:sz w:val="23"/>
          <w:szCs w:val="23"/>
        </w:rPr>
        <w:t>não</w:t>
      </w:r>
      <w:proofErr w:type="spellEnd"/>
      <w:r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 ocorreu </w:t>
      </w:r>
      <w:proofErr w:type="spellStart"/>
      <w:r w:rsidRPr="00E50E23">
        <w:rPr>
          <w:rStyle w:val="fontstyle11"/>
          <w:rFonts w:asciiTheme="minorHAnsi" w:hAnsiTheme="minorHAnsi" w:cstheme="minorHAnsi"/>
          <w:sz w:val="23"/>
          <w:szCs w:val="23"/>
        </w:rPr>
        <w:t>após</w:t>
      </w:r>
      <w:proofErr w:type="spellEnd"/>
      <w:r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 a entrada em vigor da EC 103/2019 – </w:t>
      </w:r>
      <w:r w:rsidRPr="00E50E23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>mostra-se coerente, adequada e oportuna</w:t>
      </w:r>
      <w:r w:rsidRPr="00E50E23">
        <w:rPr>
          <w:rStyle w:val="fontstyle11"/>
          <w:rFonts w:asciiTheme="minorHAnsi" w:hAnsiTheme="minorHAnsi" w:cstheme="minorHAnsi"/>
          <w:sz w:val="23"/>
          <w:szCs w:val="23"/>
        </w:rPr>
        <w:t>.</w:t>
      </w:r>
    </w:p>
    <w:p w14:paraId="70F7CA0C" w14:textId="773E4822" w:rsidR="00331C43" w:rsidRDefault="00331C43" w:rsidP="001917BD">
      <w:pPr>
        <w:jc w:val="both"/>
        <w:rPr>
          <w:rStyle w:val="fontstyle11"/>
          <w:rFonts w:asciiTheme="minorHAnsi" w:hAnsiTheme="minorHAnsi" w:cstheme="minorHAnsi"/>
          <w:sz w:val="23"/>
          <w:szCs w:val="23"/>
        </w:rPr>
      </w:pPr>
      <w:r>
        <w:rPr>
          <w:rStyle w:val="fontstyle11"/>
          <w:rFonts w:asciiTheme="minorHAnsi" w:hAnsiTheme="minorHAnsi" w:cstheme="minorHAnsi"/>
          <w:sz w:val="23"/>
          <w:szCs w:val="23"/>
        </w:rPr>
        <w:t>Aqueles que conseguiram esse direito no Poder Judiciário até 2019 não podem ser privilegiados em detrimento daqueles que não puderam ajuizar ações judiciais com este mesmo objetivo</w:t>
      </w:r>
      <w:r w:rsidR="00C00124">
        <w:rPr>
          <w:rStyle w:val="fontstyle11"/>
          <w:rFonts w:asciiTheme="minorHAnsi" w:hAnsiTheme="minorHAnsi" w:cstheme="minorHAnsi"/>
          <w:sz w:val="23"/>
          <w:szCs w:val="23"/>
        </w:rPr>
        <w:t>.</w:t>
      </w:r>
    </w:p>
    <w:p w14:paraId="13D3C943" w14:textId="5D1CB450" w:rsidR="001917BD" w:rsidRPr="00E50E23" w:rsidRDefault="001917BD" w:rsidP="001917BD">
      <w:pPr>
        <w:jc w:val="both"/>
        <w:rPr>
          <w:rStyle w:val="fontstyle11"/>
          <w:rFonts w:asciiTheme="minorHAnsi" w:hAnsiTheme="minorHAnsi" w:cstheme="minorHAnsi"/>
          <w:sz w:val="23"/>
          <w:szCs w:val="23"/>
        </w:rPr>
      </w:pPr>
      <w:r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Some-se a este cenário incerto o fato de que </w:t>
      </w:r>
      <w:r w:rsidRPr="00E50E23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>sempre houve pouquíssima divulgação, por parte do Poder Público, de informações claras e objetivas sobre as vantagens de opção pelo RPC</w:t>
      </w:r>
      <w:r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 e de consequente adesão aos Fundos de Previdência instituídos, como o FUNPRESP-EXE. Dessa feita, os servidores públicos, que </w:t>
      </w:r>
      <w:r w:rsidRPr="00E50E23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>não receberam suficientes subsídios para que fizessem esta opção com segurança</w:t>
      </w:r>
      <w:r w:rsidR="00331C43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 xml:space="preserve"> até 29.03.2019</w:t>
      </w:r>
      <w:r w:rsidRPr="00E50E23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>,</w:t>
      </w:r>
      <w:r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 não </w:t>
      </w:r>
      <w:r>
        <w:rPr>
          <w:rStyle w:val="fontstyle11"/>
          <w:rFonts w:asciiTheme="minorHAnsi" w:hAnsiTheme="minorHAnsi" w:cstheme="minorHAnsi"/>
          <w:sz w:val="23"/>
          <w:szCs w:val="23"/>
        </w:rPr>
        <w:t xml:space="preserve">devem </w:t>
      </w:r>
      <w:r w:rsidRPr="00E50E23">
        <w:rPr>
          <w:rStyle w:val="fontstyle11"/>
          <w:rFonts w:asciiTheme="minorHAnsi" w:hAnsiTheme="minorHAnsi" w:cstheme="minorHAnsi"/>
          <w:sz w:val="23"/>
          <w:szCs w:val="23"/>
        </w:rPr>
        <w:t>agora ser punidos com a redução do benefício especial</w:t>
      </w:r>
      <w:r>
        <w:rPr>
          <w:rStyle w:val="fontstyle11"/>
          <w:rFonts w:asciiTheme="minorHAnsi" w:hAnsiTheme="minorHAnsi" w:cstheme="minorHAnsi"/>
          <w:sz w:val="23"/>
          <w:szCs w:val="23"/>
        </w:rPr>
        <w:t>.</w:t>
      </w:r>
    </w:p>
    <w:p w14:paraId="3EDCC331" w14:textId="77777777" w:rsidR="001917BD" w:rsidRPr="00E50E23" w:rsidRDefault="001917BD" w:rsidP="001917BD">
      <w:pPr>
        <w:jc w:val="both"/>
        <w:rPr>
          <w:rStyle w:val="fontstyle11"/>
          <w:rFonts w:asciiTheme="minorHAnsi" w:hAnsiTheme="minorHAnsi" w:cstheme="minorHAnsi"/>
          <w:sz w:val="23"/>
          <w:szCs w:val="23"/>
        </w:rPr>
      </w:pPr>
      <w:r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Prova disso é que, em artigo científico intitulado “OS SERVIDORES PÚBLICOS ESTÃO ADERINDO A FUNPRESP? UM ESTUDO EM UMA INSTITUIÇÃO FEDERAL DE ENSINO”, publicado pela Universidade Federal do Maranhão, apurou-se que, entre os servidores </w:t>
      </w:r>
      <w:r w:rsidRPr="00E50E23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 xml:space="preserve">que não aderiram ao FUNPRESP, mais de 75% afirmaram conhecer apenas superficialmente as regras. </w:t>
      </w:r>
      <w:r w:rsidRPr="00E50E23">
        <w:rPr>
          <w:rStyle w:val="fontstyle11"/>
          <w:rFonts w:asciiTheme="minorHAnsi" w:hAnsiTheme="minorHAnsi" w:cstheme="minorHAnsi"/>
          <w:sz w:val="23"/>
          <w:szCs w:val="23"/>
        </w:rPr>
        <w:t>Com efeito,</w:t>
      </w:r>
      <w:r w:rsidRPr="00E50E23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os pesquisadores diagnosticaram a falta de </w:t>
      </w:r>
      <w:r w:rsidRPr="00E50E23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>divulgação de informações suficientes</w:t>
      </w:r>
      <w:r w:rsidRPr="00E50E23">
        <w:rPr>
          <w:rStyle w:val="fontstyle11"/>
          <w:rFonts w:asciiTheme="minorHAnsi" w:hAnsiTheme="minorHAnsi" w:cstheme="minorHAnsi"/>
          <w:sz w:val="23"/>
          <w:szCs w:val="23"/>
        </w:rPr>
        <w:t>, que permitissem aos servidores decidir à época com segurança, o que, consequentemente, reduzia os percentuais de adesão:</w:t>
      </w:r>
    </w:p>
    <w:p w14:paraId="10DF166B" w14:textId="313E386E" w:rsidR="001917BD" w:rsidRPr="00331C43" w:rsidRDefault="001917BD" w:rsidP="00331C43">
      <w:pPr>
        <w:ind w:left="2127"/>
        <w:jc w:val="both"/>
        <w:rPr>
          <w:rStyle w:val="fontstyle11"/>
          <w:rFonts w:asciiTheme="minorHAnsi" w:hAnsiTheme="minorHAnsi" w:cstheme="minorHAnsi"/>
          <w:b/>
          <w:bCs/>
          <w:sz w:val="23"/>
          <w:szCs w:val="23"/>
        </w:rPr>
      </w:pPr>
      <w:r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Demonstra-se, assim, a importância da divulgação da FUNPRESP, dessa procura dos representantes da fundação aos servidores ingressantes, </w:t>
      </w:r>
      <w:r w:rsidRPr="00E50E23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 xml:space="preserve">para que eles possam ter conhecimento e decidirem com base em informações claras e </w:t>
      </w:r>
      <w:proofErr w:type="spellStart"/>
      <w:r w:rsidRPr="00E50E23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>ﬁdedignas</w:t>
      </w:r>
      <w:proofErr w:type="spellEnd"/>
      <w:r w:rsidRPr="00E50E23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>.</w:t>
      </w:r>
    </w:p>
    <w:p w14:paraId="68AD32B7" w14:textId="13E12802" w:rsidR="006C2CE8" w:rsidRPr="00C00124" w:rsidRDefault="00331C43" w:rsidP="006C2CE8">
      <w:pPr>
        <w:jc w:val="both"/>
        <w:rPr>
          <w:rStyle w:val="fontstyle11"/>
          <w:rFonts w:asciiTheme="minorHAnsi" w:hAnsiTheme="minorHAnsi" w:cstheme="minorHAnsi"/>
          <w:b/>
          <w:bCs/>
          <w:sz w:val="23"/>
          <w:szCs w:val="23"/>
        </w:rPr>
      </w:pPr>
      <w:r>
        <w:rPr>
          <w:rStyle w:val="fontstyle11"/>
          <w:rFonts w:asciiTheme="minorHAnsi" w:hAnsiTheme="minorHAnsi" w:cstheme="minorHAnsi"/>
          <w:sz w:val="23"/>
          <w:szCs w:val="23"/>
        </w:rPr>
        <w:t xml:space="preserve">Por fim, </w:t>
      </w:r>
      <w:r w:rsidR="006C2CE8">
        <w:rPr>
          <w:rStyle w:val="fontstyle11"/>
          <w:rFonts w:asciiTheme="minorHAnsi" w:hAnsiTheme="minorHAnsi" w:cstheme="minorHAnsi"/>
          <w:sz w:val="23"/>
          <w:szCs w:val="23"/>
        </w:rPr>
        <w:t xml:space="preserve">neste interregno, </w:t>
      </w:r>
      <w:r w:rsidR="006C2CE8" w:rsidRPr="006C2CE8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 xml:space="preserve">os servidores ainda não optantes </w:t>
      </w:r>
      <w:r w:rsidR="00C00124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 xml:space="preserve">até 2021 </w:t>
      </w:r>
      <w:r w:rsidR="006C2CE8" w:rsidRPr="006C2CE8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>tiveram mais despesas em</w:t>
      </w:r>
      <w:r w:rsidR="00C00124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 xml:space="preserve"> relação àqueles que optaram antes, </w:t>
      </w:r>
      <w:r w:rsidR="006C2CE8">
        <w:rPr>
          <w:rStyle w:val="fontstyle11"/>
          <w:rFonts w:asciiTheme="minorHAnsi" w:hAnsiTheme="minorHAnsi" w:cstheme="minorHAnsi"/>
          <w:sz w:val="23"/>
          <w:szCs w:val="23"/>
        </w:rPr>
        <w:t xml:space="preserve">na medida em que continuaram </w:t>
      </w:r>
      <w:r w:rsidR="006C2CE8"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a recolher a sua contribuição previdenciária </w:t>
      </w:r>
      <w:r w:rsidR="006C2CE8">
        <w:rPr>
          <w:rStyle w:val="fontstyle11"/>
          <w:rFonts w:asciiTheme="minorHAnsi" w:hAnsiTheme="minorHAnsi" w:cstheme="minorHAnsi"/>
          <w:sz w:val="23"/>
          <w:szCs w:val="23"/>
        </w:rPr>
        <w:t>em percentual superior àqueles que optaram pelo RPC</w:t>
      </w:r>
      <w:r w:rsidR="006C2CE8"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. E, </w:t>
      </w:r>
      <w:r w:rsidR="00C00124">
        <w:rPr>
          <w:rStyle w:val="fontstyle11"/>
          <w:rFonts w:asciiTheme="minorHAnsi" w:hAnsiTheme="minorHAnsi" w:cstheme="minorHAnsi"/>
          <w:sz w:val="23"/>
          <w:szCs w:val="23"/>
        </w:rPr>
        <w:t>desde a</w:t>
      </w:r>
      <w:r w:rsidR="006C2CE8"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 Reforma da Previdência, </w:t>
      </w:r>
      <w:r w:rsidR="00C00124">
        <w:rPr>
          <w:rStyle w:val="fontstyle11"/>
          <w:rFonts w:asciiTheme="minorHAnsi" w:hAnsiTheme="minorHAnsi" w:cstheme="minorHAnsi"/>
          <w:sz w:val="23"/>
          <w:szCs w:val="23"/>
        </w:rPr>
        <w:t>as alíquotas se tornaram ainda maiores</w:t>
      </w:r>
      <w:r w:rsidR="00EC2BE7">
        <w:rPr>
          <w:rStyle w:val="fontstyle11"/>
          <w:rFonts w:asciiTheme="minorHAnsi" w:hAnsiTheme="minorHAnsi" w:cstheme="minorHAnsi"/>
          <w:sz w:val="23"/>
          <w:szCs w:val="23"/>
        </w:rPr>
        <w:t>, o que sequer foi levado em consideração no novo c</w:t>
      </w:r>
      <w:r w:rsidR="00D535E5">
        <w:rPr>
          <w:rStyle w:val="fontstyle11"/>
          <w:rFonts w:asciiTheme="minorHAnsi" w:hAnsiTheme="minorHAnsi" w:cstheme="minorHAnsi"/>
          <w:sz w:val="23"/>
          <w:szCs w:val="23"/>
        </w:rPr>
        <w:t>álculo.</w:t>
      </w:r>
    </w:p>
    <w:p w14:paraId="77B3327B" w14:textId="381798BC" w:rsidR="00C00124" w:rsidRPr="0065749F" w:rsidRDefault="006E423C" w:rsidP="00C00124">
      <w:pPr>
        <w:jc w:val="both"/>
        <w:rPr>
          <w:rStyle w:val="fontstyle11"/>
          <w:rFonts w:asciiTheme="minorHAnsi" w:hAnsiTheme="minorHAnsi" w:cstheme="minorHAnsi"/>
          <w:b/>
          <w:bCs/>
          <w:sz w:val="23"/>
          <w:szCs w:val="23"/>
        </w:rPr>
      </w:pPr>
      <w:r w:rsidRPr="00E50E23">
        <w:rPr>
          <w:rStyle w:val="fontstyle11"/>
          <w:rFonts w:asciiTheme="minorHAnsi" w:hAnsiTheme="minorHAnsi" w:cstheme="minorHAnsi"/>
          <w:sz w:val="23"/>
          <w:szCs w:val="23"/>
        </w:rPr>
        <w:t xml:space="preserve">Diante do exposto, pugna-se pela </w:t>
      </w:r>
      <w:r w:rsidR="00C00124">
        <w:rPr>
          <w:rStyle w:val="fontstyle11"/>
          <w:rFonts w:asciiTheme="minorHAnsi" w:hAnsiTheme="minorHAnsi" w:cstheme="minorHAnsi"/>
          <w:b/>
          <w:bCs/>
          <w:sz w:val="23"/>
          <w:szCs w:val="23"/>
        </w:rPr>
        <w:t>modificação</w:t>
      </w:r>
      <w:r w:rsidR="00C00124" w:rsidRPr="00C00124">
        <w:rPr>
          <w:rStyle w:val="fontstyle21"/>
          <w:rFonts w:asciiTheme="minorHAnsi" w:hAnsiTheme="minorHAnsi" w:cstheme="minorHAnsi"/>
          <w:sz w:val="23"/>
          <w:szCs w:val="23"/>
        </w:rPr>
        <w:t xml:space="preserve"> </w:t>
      </w:r>
      <w:r w:rsidR="00C00124" w:rsidRPr="00E50E23">
        <w:rPr>
          <w:rStyle w:val="fontstyle21"/>
          <w:rFonts w:asciiTheme="minorHAnsi" w:hAnsiTheme="minorHAnsi" w:cstheme="minorHAnsi"/>
          <w:sz w:val="23"/>
          <w:szCs w:val="23"/>
        </w:rPr>
        <w:t>do art. 2º da Medida Provisória, de sorte que,</w:t>
      </w:r>
      <w:r w:rsidR="00C00124">
        <w:rPr>
          <w:rStyle w:val="fontstyle11"/>
          <w:rFonts w:asciiTheme="minorHAnsi" w:hAnsiTheme="minorHAnsi" w:cstheme="minorHAnsi"/>
          <w:sz w:val="23"/>
          <w:szCs w:val="23"/>
        </w:rPr>
        <w:t xml:space="preserve"> os </w:t>
      </w:r>
      <w:r w:rsidRPr="00E50E23">
        <w:rPr>
          <w:rStyle w:val="fontstyle21"/>
          <w:rFonts w:asciiTheme="minorHAnsi" w:hAnsiTheme="minorHAnsi" w:cstheme="minorHAnsi"/>
          <w:sz w:val="23"/>
          <w:szCs w:val="23"/>
        </w:rPr>
        <w:t xml:space="preserve">§§2º, 3º e 4º </w:t>
      </w:r>
      <w:r w:rsidR="0065749F">
        <w:rPr>
          <w:rStyle w:val="fontstyle21"/>
          <w:rFonts w:asciiTheme="minorHAnsi" w:hAnsiTheme="minorHAnsi" w:cstheme="minorHAnsi"/>
          <w:sz w:val="23"/>
          <w:szCs w:val="23"/>
        </w:rPr>
        <w:t xml:space="preserve">alterados </w:t>
      </w:r>
      <w:r w:rsidR="00F960CB">
        <w:rPr>
          <w:rStyle w:val="fontstyle21"/>
          <w:rFonts w:asciiTheme="minorHAnsi" w:hAnsiTheme="minorHAnsi" w:cstheme="minorHAnsi"/>
          <w:sz w:val="23"/>
          <w:szCs w:val="23"/>
        </w:rPr>
        <w:t xml:space="preserve">ao </w:t>
      </w:r>
      <w:r w:rsidR="0065749F">
        <w:rPr>
          <w:rStyle w:val="fontstyle21"/>
          <w:rFonts w:asciiTheme="minorHAnsi" w:hAnsiTheme="minorHAnsi" w:cstheme="minorHAnsi"/>
          <w:sz w:val="23"/>
          <w:szCs w:val="23"/>
        </w:rPr>
        <w:t>acrescido</w:t>
      </w:r>
      <w:r w:rsidRPr="00E50E23">
        <w:rPr>
          <w:rStyle w:val="fontstyle21"/>
          <w:rFonts w:asciiTheme="minorHAnsi" w:hAnsiTheme="minorHAnsi" w:cstheme="minorHAnsi"/>
          <w:sz w:val="23"/>
          <w:szCs w:val="23"/>
        </w:rPr>
        <w:t xml:space="preserve"> </w:t>
      </w:r>
      <w:r w:rsidR="0065749F">
        <w:rPr>
          <w:rStyle w:val="fontstyle21"/>
          <w:rFonts w:asciiTheme="minorHAnsi" w:hAnsiTheme="minorHAnsi" w:cstheme="minorHAnsi"/>
          <w:sz w:val="23"/>
          <w:szCs w:val="23"/>
        </w:rPr>
        <w:t>a</w:t>
      </w:r>
      <w:r w:rsidRPr="00E50E23">
        <w:rPr>
          <w:rStyle w:val="fontstyle21"/>
          <w:rFonts w:asciiTheme="minorHAnsi" w:hAnsiTheme="minorHAnsi" w:cstheme="minorHAnsi"/>
          <w:sz w:val="23"/>
          <w:szCs w:val="23"/>
        </w:rPr>
        <w:t>rt. 3º da Lei nº 12.618</w:t>
      </w:r>
      <w:r w:rsidR="00F960CB">
        <w:rPr>
          <w:rStyle w:val="fontstyle21"/>
          <w:rFonts w:asciiTheme="minorHAnsi" w:hAnsiTheme="minorHAnsi" w:cstheme="minorHAnsi"/>
          <w:sz w:val="23"/>
          <w:szCs w:val="23"/>
        </w:rPr>
        <w:t>/2012</w:t>
      </w:r>
      <w:r w:rsidRPr="00E50E23">
        <w:rPr>
          <w:rStyle w:val="fontstyle21"/>
          <w:rFonts w:asciiTheme="minorHAnsi" w:hAnsiTheme="minorHAnsi" w:cstheme="minorHAnsi"/>
          <w:sz w:val="23"/>
          <w:szCs w:val="23"/>
        </w:rPr>
        <w:t xml:space="preserve"> </w:t>
      </w:r>
      <w:r w:rsidR="00C00124">
        <w:rPr>
          <w:rStyle w:val="fontstyle21"/>
          <w:rFonts w:asciiTheme="minorHAnsi" w:hAnsiTheme="minorHAnsi" w:cstheme="minorHAnsi"/>
          <w:sz w:val="23"/>
          <w:szCs w:val="23"/>
        </w:rPr>
        <w:t xml:space="preserve">assegurem </w:t>
      </w:r>
      <w:r w:rsidR="0065749F">
        <w:rPr>
          <w:rStyle w:val="fontstyle21"/>
          <w:rFonts w:asciiTheme="minorHAnsi" w:hAnsiTheme="minorHAnsi" w:cstheme="minorHAnsi"/>
          <w:sz w:val="23"/>
          <w:szCs w:val="23"/>
        </w:rPr>
        <w:t xml:space="preserve">a todos </w:t>
      </w:r>
      <w:r w:rsidR="00C00124" w:rsidRPr="005E0479">
        <w:rPr>
          <w:rStyle w:val="fontstyle21"/>
          <w:rFonts w:asciiTheme="minorHAnsi" w:hAnsiTheme="minorHAnsi" w:cstheme="minorHAnsi"/>
          <w:b/>
          <w:bCs/>
          <w:sz w:val="23"/>
          <w:szCs w:val="23"/>
        </w:rPr>
        <w:t>os servidores públicos que</w:t>
      </w:r>
      <w:r w:rsidR="00F960CB">
        <w:rPr>
          <w:rStyle w:val="fontstyle21"/>
          <w:rFonts w:asciiTheme="minorHAnsi" w:hAnsiTheme="minorHAnsi" w:cstheme="minorHAnsi"/>
          <w:b/>
          <w:bCs/>
          <w:sz w:val="23"/>
          <w:szCs w:val="23"/>
        </w:rPr>
        <w:t>, de forma derradeira,</w:t>
      </w:r>
      <w:r w:rsidR="00C00124" w:rsidRPr="005E0479">
        <w:rPr>
          <w:rStyle w:val="fontstyle21"/>
          <w:rFonts w:asciiTheme="minorHAnsi" w:hAnsiTheme="minorHAnsi" w:cstheme="minorHAnsi"/>
          <w:b/>
          <w:bCs/>
          <w:sz w:val="23"/>
          <w:szCs w:val="23"/>
        </w:rPr>
        <w:t xml:space="preserve"> optarem pela migração</w:t>
      </w:r>
      <w:r w:rsidR="00C00124">
        <w:rPr>
          <w:rStyle w:val="fontstyle21"/>
          <w:rFonts w:asciiTheme="minorHAnsi" w:hAnsiTheme="minorHAnsi" w:cstheme="minorHAnsi"/>
          <w:b/>
          <w:bCs/>
          <w:sz w:val="23"/>
          <w:szCs w:val="23"/>
        </w:rPr>
        <w:t xml:space="preserve"> ao RPC</w:t>
      </w:r>
      <w:r w:rsidR="00C00124" w:rsidRPr="005E0479">
        <w:rPr>
          <w:rStyle w:val="fontstyle21"/>
          <w:rFonts w:asciiTheme="minorHAnsi" w:hAnsiTheme="minorHAnsi" w:cstheme="minorHAnsi"/>
          <w:b/>
          <w:bCs/>
          <w:sz w:val="23"/>
          <w:szCs w:val="23"/>
        </w:rPr>
        <w:t xml:space="preserve"> até</w:t>
      </w:r>
      <w:r w:rsidR="0065749F">
        <w:rPr>
          <w:rStyle w:val="fontstyle21"/>
          <w:rFonts w:asciiTheme="minorHAnsi" w:hAnsiTheme="minorHAnsi" w:cstheme="minorHAnsi"/>
          <w:b/>
          <w:bCs/>
          <w:sz w:val="23"/>
          <w:szCs w:val="23"/>
        </w:rPr>
        <w:t xml:space="preserve"> o prazo de</w:t>
      </w:r>
      <w:r w:rsidR="00C00124" w:rsidRPr="005E0479">
        <w:rPr>
          <w:rStyle w:val="fontstyle21"/>
          <w:rFonts w:asciiTheme="minorHAnsi" w:hAnsiTheme="minorHAnsi" w:cstheme="minorHAnsi"/>
          <w:b/>
          <w:bCs/>
          <w:sz w:val="23"/>
          <w:szCs w:val="23"/>
        </w:rPr>
        <w:t xml:space="preserve"> 30.11.2022</w:t>
      </w:r>
      <w:r w:rsidR="006D3FD0">
        <w:rPr>
          <w:rStyle w:val="fontstyle21"/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65749F">
        <w:rPr>
          <w:rStyle w:val="fontstyle21"/>
          <w:rFonts w:asciiTheme="minorHAnsi" w:hAnsiTheme="minorHAnsi" w:cstheme="minorHAnsi"/>
          <w:b/>
          <w:bCs/>
          <w:sz w:val="23"/>
          <w:szCs w:val="23"/>
        </w:rPr>
        <w:t>façam jus</w:t>
      </w:r>
      <w:r w:rsidR="00C00124">
        <w:rPr>
          <w:rStyle w:val="fontstyle21"/>
          <w:rFonts w:asciiTheme="minorHAnsi" w:hAnsiTheme="minorHAnsi" w:cstheme="minorHAnsi"/>
          <w:sz w:val="23"/>
          <w:szCs w:val="23"/>
        </w:rPr>
        <w:t xml:space="preserve"> </w:t>
      </w:r>
      <w:r w:rsidR="00C00124" w:rsidRPr="005E0479">
        <w:rPr>
          <w:rStyle w:val="fontstyle21"/>
          <w:rFonts w:asciiTheme="minorHAnsi" w:hAnsiTheme="minorHAnsi" w:cstheme="minorHAnsi"/>
          <w:b/>
          <w:bCs/>
          <w:sz w:val="23"/>
          <w:szCs w:val="23"/>
        </w:rPr>
        <w:t xml:space="preserve">à aplicação das regras de cálculo do benefício especial que eram vigentes até </w:t>
      </w:r>
      <w:r w:rsidR="00C00124">
        <w:rPr>
          <w:rStyle w:val="fontstyle21"/>
          <w:rFonts w:asciiTheme="minorHAnsi" w:hAnsiTheme="minorHAnsi" w:cstheme="minorHAnsi"/>
          <w:b/>
          <w:bCs/>
          <w:sz w:val="23"/>
          <w:szCs w:val="23"/>
        </w:rPr>
        <w:t>29.03.2019, antes da</w:t>
      </w:r>
      <w:r w:rsidR="00C00124" w:rsidRPr="005E0479">
        <w:rPr>
          <w:rStyle w:val="fontstyle21"/>
          <w:rFonts w:asciiTheme="minorHAnsi" w:hAnsiTheme="minorHAnsi" w:cstheme="minorHAnsi"/>
          <w:b/>
          <w:bCs/>
          <w:sz w:val="23"/>
          <w:szCs w:val="23"/>
        </w:rPr>
        <w:t xml:space="preserve"> EC n. 103/19</w:t>
      </w:r>
      <w:r w:rsidR="00C00124">
        <w:rPr>
          <w:rStyle w:val="fontstyle21"/>
          <w:rFonts w:asciiTheme="minorHAnsi" w:hAnsiTheme="minorHAnsi" w:cstheme="minorHAnsi"/>
          <w:sz w:val="23"/>
          <w:szCs w:val="23"/>
        </w:rPr>
        <w:t xml:space="preserve">. </w:t>
      </w:r>
    </w:p>
    <w:p w14:paraId="1CB0A617" w14:textId="319B747B" w:rsidR="004D4A8D" w:rsidRPr="00E50E23" w:rsidRDefault="002E71D7" w:rsidP="002E71D7">
      <w:pPr>
        <w:jc w:val="both"/>
        <w:rPr>
          <w:rFonts w:cstheme="minorHAnsi"/>
          <w:color w:val="000000"/>
          <w:sz w:val="23"/>
          <w:szCs w:val="23"/>
        </w:rPr>
      </w:pPr>
      <w:bookmarkStart w:id="1" w:name="_Hlk104716437"/>
      <w:r w:rsidRPr="00E50E23">
        <w:rPr>
          <w:rFonts w:cstheme="minorHAnsi"/>
          <w:color w:val="000000"/>
          <w:sz w:val="23"/>
          <w:szCs w:val="23"/>
        </w:rPr>
        <w:t xml:space="preserve">Sala das Sessões, </w:t>
      </w:r>
      <w:r w:rsidR="005E0479">
        <w:rPr>
          <w:rFonts w:cstheme="minorHAnsi"/>
          <w:color w:val="000000"/>
          <w:sz w:val="23"/>
          <w:szCs w:val="23"/>
        </w:rPr>
        <w:t>30</w:t>
      </w:r>
      <w:r w:rsidRPr="00E50E23">
        <w:rPr>
          <w:rFonts w:cstheme="minorHAnsi"/>
          <w:color w:val="000000"/>
          <w:sz w:val="23"/>
          <w:szCs w:val="23"/>
        </w:rPr>
        <w:t xml:space="preserve"> de maio de 2022.</w:t>
      </w:r>
      <w:bookmarkEnd w:id="1"/>
    </w:p>
    <w:sectPr w:rsidR="004D4A8D" w:rsidRPr="00E50E23" w:rsidSect="00EE1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D6312"/>
    <w:multiLevelType w:val="hybridMultilevel"/>
    <w:tmpl w:val="7F78C188"/>
    <w:lvl w:ilvl="0" w:tplc="D8561C92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190887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89"/>
    <w:rsid w:val="000608B6"/>
    <w:rsid w:val="00144D17"/>
    <w:rsid w:val="00174C3C"/>
    <w:rsid w:val="001917BD"/>
    <w:rsid w:val="001C1AB4"/>
    <w:rsid w:val="002129F5"/>
    <w:rsid w:val="002562C0"/>
    <w:rsid w:val="002E71D7"/>
    <w:rsid w:val="00331C43"/>
    <w:rsid w:val="003C2389"/>
    <w:rsid w:val="00424AAB"/>
    <w:rsid w:val="00445E25"/>
    <w:rsid w:val="00454797"/>
    <w:rsid w:val="004D4A8D"/>
    <w:rsid w:val="005933C6"/>
    <w:rsid w:val="005D0D32"/>
    <w:rsid w:val="005E0479"/>
    <w:rsid w:val="005F2EA9"/>
    <w:rsid w:val="0062716D"/>
    <w:rsid w:val="00634443"/>
    <w:rsid w:val="0065749F"/>
    <w:rsid w:val="00677428"/>
    <w:rsid w:val="006C2CE8"/>
    <w:rsid w:val="006D3FD0"/>
    <w:rsid w:val="006E0209"/>
    <w:rsid w:val="006E423C"/>
    <w:rsid w:val="006F16D5"/>
    <w:rsid w:val="0072028D"/>
    <w:rsid w:val="00723AE8"/>
    <w:rsid w:val="007617F1"/>
    <w:rsid w:val="007651C7"/>
    <w:rsid w:val="008549FA"/>
    <w:rsid w:val="008554B7"/>
    <w:rsid w:val="00893480"/>
    <w:rsid w:val="008A3BAD"/>
    <w:rsid w:val="008D126D"/>
    <w:rsid w:val="008E03BE"/>
    <w:rsid w:val="008F3CA8"/>
    <w:rsid w:val="009347F0"/>
    <w:rsid w:val="00971708"/>
    <w:rsid w:val="00AC13AB"/>
    <w:rsid w:val="00AC293F"/>
    <w:rsid w:val="00B018FD"/>
    <w:rsid w:val="00B03215"/>
    <w:rsid w:val="00B20B51"/>
    <w:rsid w:val="00B62C85"/>
    <w:rsid w:val="00BC0484"/>
    <w:rsid w:val="00C00124"/>
    <w:rsid w:val="00C46A25"/>
    <w:rsid w:val="00C6486E"/>
    <w:rsid w:val="00C6681E"/>
    <w:rsid w:val="00C8493E"/>
    <w:rsid w:val="00CA0B5E"/>
    <w:rsid w:val="00CB42E8"/>
    <w:rsid w:val="00CB444F"/>
    <w:rsid w:val="00D535E5"/>
    <w:rsid w:val="00D766B9"/>
    <w:rsid w:val="00D90388"/>
    <w:rsid w:val="00DA63C5"/>
    <w:rsid w:val="00E12968"/>
    <w:rsid w:val="00E42614"/>
    <w:rsid w:val="00E46590"/>
    <w:rsid w:val="00E50E23"/>
    <w:rsid w:val="00E644BB"/>
    <w:rsid w:val="00EA028A"/>
    <w:rsid w:val="00EC071A"/>
    <w:rsid w:val="00EC2BE7"/>
    <w:rsid w:val="00EE1F32"/>
    <w:rsid w:val="00F528BA"/>
    <w:rsid w:val="00F9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99BE"/>
  <w15:chartTrackingRefBased/>
  <w15:docId w15:val="{3E6F84DE-7FDA-488B-9921-674FDACE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C2389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3C238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3C238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AC13AB"/>
    <w:rPr>
      <w:color w:val="0000FF"/>
      <w:u w:val="single"/>
    </w:rPr>
  </w:style>
  <w:style w:type="paragraph" w:customStyle="1" w:styleId="dou-paragraph">
    <w:name w:val="dou-paragraph"/>
    <w:basedOn w:val="Normal"/>
    <w:rsid w:val="00BC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o1">
    <w:name w:val="Citação1"/>
    <w:basedOn w:val="Normal"/>
    <w:rsid w:val="00B2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5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1594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Receita Federal do Brasil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Pena Pinheiro</dc:creator>
  <cp:keywords/>
  <dc:description/>
  <cp:lastModifiedBy>Larissa Benevides</cp:lastModifiedBy>
  <cp:revision>4</cp:revision>
  <dcterms:created xsi:type="dcterms:W3CDTF">2022-05-29T14:31:00Z</dcterms:created>
  <dcterms:modified xsi:type="dcterms:W3CDTF">2022-05-29T14:44:00Z</dcterms:modified>
</cp:coreProperties>
</file>